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PS.2015.0040 vom 8. Juli 2015</w:t>
      </w:r>
    </w:p>
    <w:p>
      <w:r>
        <w:t>VD Tribunal cantonal, 2015-07-08, FR</w:t>
      </w:r>
    </w:p>
    <w:p>
      <w:r>
        <w:rPr>
          <w:b/>
        </w:rPr>
        <w:t xml:space="preserve">Quelle: </w:t>
      </w:r>
      <w:r>
        <w:t>https://mcp.opencaselaw.ch/entscheid/vd_omni_PS.2015.0040</w:t>
      </w:r>
    </w:p>
    <w:p>
      <w:r>
        <w:t>FR: VD_OMNI PS.2015.0040 du 8 juillet 2015</w:t>
      </w:r>
    </w:p>
    <w:p>
      <w:r>
        <w:t>IT: VD_OMNI PS.2015.0040 del 8 luglio 2015</w:t>
      </w:r>
    </w:p>
    <w:p>
      <w:pPr>
        <w:pStyle w:val="Heading2"/>
      </w:pPr>
      <w:r>
        <w:t>Regeste</w:t>
      </w:r>
    </w:p>
    <w:p>
      <w:r>
        <w:t>X.________ /Instance juridique chômage Service de l'emploi, Office régional de placement de Lausanne, Centre social régional de l'Est lausannois-Oron-Lavaux | Bénéficiaire du RI qui a remis tardivement ses preuves de recherches d'emploi. L'intéressée a déjà été sanctionnée par le passé pour le même motif. En prononçant une réduction du forfait RI de 25% pendant 4 mois, l'autorité n'a pas abusé de son pouvoir d'appréciation.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b) En l'espèce, la recourante ne conteste pas avoir remis tardivement – le 24 novembre 2014 – ses preuves de recherches d'emploi pour le mois d'octobre 2014. Dans le cadre de son recours devant l'autorité de céans, elle ne cherche plus à trouver des excuses à son omission, qui justifieraient qu'elle ne soit pas sanctionnée. A juste titre d'ailleurs, dès lors que, comme l'a fort à propos rappelé l'autorité intimée dans le cadre de la décision entreprise, la recourante avait suivi le 12 septembre 2014 une séance d'information centralisée durant laquelle ses obligations en matière de recherches d'emploi lui avaient été rappelées. Par ailleurs, elle avait eu tout loisir de poser les questions qui lui paraissaient utiles au sujet de ses obligations lors de l'entretien du 19 septembre 2014 avec son conseiller ORP. Enfin, le formulaire de preuve des recherches d'emploi effectuées contenait une rubrique qui rappelait expressément l'obligation de respecter le délai échéant le cinq du mois. En réalité, la recourante se plaint de ce que la sanction prononcée porterait atteinte à son minimum vital du RI durant quatre mois.</w:t>
      </w:r>
    </w:p>
    <w:p>
      <w:r>
        <w:rPr>
          <w:b/>
        </w:rPr>
        <w:t>E. 3</w:t>
      </w:r>
    </w:p>
    <w:p>
      <w:r>
        <w:t>a)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La réduction du forfait ne touche pas la part affectée aux enfants à charge. Le noyau intangible, qualifié de minimum vital absolu, peut être déterminé à hauteur de 75% du forfait pour l'entretien (voir notamment arrêts PS.2014.0073 du 20 août 2014; PS.2011.0027 du 3 octobre 2011; PS.2009.0052 du 15 février 2010). b) En l'espèce, la recourante a été sanctionnée une première fois le 9 novembre 2014 pour avoir omis d'apporter dans le délai les preuves de ses recherches d'emploi pour le mois de septembre 2014. La réduction de son forfait mensuel d'entretien RI a alors été fixée à 15% pour une période de trois mois. On peut se demander pour quels motifs l'autorité intimée s'est écartée du minimum légal s'agissant d'une première inobservation de ses obligations par la recourante. Cela étant, cette dernière n'a pas contesté cette décision. Dans la présente cause, la sanction contestée porte sur le non respect du délai de production des preuves de recherches d'emploi pour le mois d'octobre 2014. S'agissant d'une nouvelle inobservation de ses obligations par la recourante, l'autorité intimée était parfaitement légitimée à infliger une sanction dont la quotité et la durée étaient supérieures à la première. En prononçant une réduction du forfait RI de la recourante de 25% durant quatre mois, l'autorité intimée n'est pas sortie du cadre légal et n'a pas fait un mauvais usage de son pouvoir d'appréciation. Cette réduction de 25% permet de maintenir chez la recourante le 75% de son forfait d'entretien, qui peut être qualifié de minimum vital absolu, comme rappelé sous lettre a) ci-dessus. Le moyen de la recourante selon lequel la réduction contestée porterait atteinte à son minimum vital doit ainsi être écarté.</w:t>
      </w:r>
    </w:p>
    <w:p>
      <w:r>
        <w:rPr>
          <w:b/>
        </w:rPr>
        <w:t>E. 4</w:t>
      </w:r>
    </w:p>
    <w:p>
      <w:r>
        <w:t>Il résulte de ce qui précède que mal fondé, le recours doit être rejeté et la décision attaquée confirmée. Le présent arrêt sera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