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PS.2015.0038 vom 24. August 2015</w:t>
      </w:r>
    </w:p>
    <w:p>
      <w:r>
        <w:t>VD Tribunal cantonal, 2015-08-24, FR</w:t>
      </w:r>
    </w:p>
    <w:p>
      <w:r>
        <w:rPr>
          <w:b/>
        </w:rPr>
        <w:t xml:space="preserve">Quelle: </w:t>
      </w:r>
      <w:r>
        <w:t>https://mcp.opencaselaw.ch/entscheid/vd_omni_PS.2015.0038</w:t>
      </w:r>
    </w:p>
    <w:p>
      <w:r>
        <w:t>FR: VD_OMNI PS.2015.0038 du 24 août 2015</w:t>
      </w:r>
    </w:p>
    <w:p>
      <w:r>
        <w:t>IT: VD_OMNI PS.2015.0038 del 24 agosto 2015</w:t>
      </w:r>
    </w:p>
    <w:p>
      <w:pPr>
        <w:pStyle w:val="Heading2"/>
      </w:pPr>
      <w:r>
        <w:t>Regeste</w:t>
      </w:r>
    </w:p>
    <w:p>
      <w:r>
        <w:t>X.________ /Instance juridique chômage Service de l'emploi, Centre social intercommunal de Montreux-Veytaux, Office régional de placement de la Riviera | Bénéficiaire du RI qui, sans raison, ne s'est pas présenté à un entretien prévu avec le chef d'office et son conseiller ORP. L'intéressé ayant déjà manqué deux entretiens dans les mois qui précédaient, la sanction consistant en une réduction de 25% de son forfait RI pour une période de deux mois est confirmée dans son principe et sa quotité. Recours rejeté dans la mesure où il est recevable.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prestations financières du RI sont réduites sans procédure d' avertissement préalable en cas de: a.   rendez-vous non respecté (y compris la séance d'information); b.   absence ou insuffisance de recherches de travail; c.   refus, abandon ou renvoi d'une mesure d'insertion professionnelle; d.   refus d'un emploi convenable; e.   violation de l'obligation de renseigner.</w:t>
      </w:r>
    </w:p>
    <w:p>
      <w:r>
        <w:rPr>
          <w:b/>
        </w:rPr>
        <w:t>E. 2</w:t>
      </w:r>
    </w:p>
    <w:p>
      <w:r>
        <w:t>Le refus d'observer d'autres instructions entraîne une diminution des prestations financières après un avertissement 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Les considérants qui précèdent conduisent au rejet du recours dans la mesure où il est recevable et à la confirmation de la décision attaquée. Il est statué sans frais (art. 4 al. 3 du Tarif du 28 avril 2015 des frais judiciaires et des dépens en matière administrative [ RSV 173.36.5.1 ] ) ni dépens (art. 55 al. 1 a contrario , 91 et 99 de la loi du 28 octobre 2008 sur la procédure administrative [LPA-VD; RSV 173.36 ]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