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PS.2015.0036 vom 8. Juli 2015</w:t>
      </w:r>
    </w:p>
    <w:p>
      <w:r>
        <w:t>VD Tribunal cantonal, 2015-07-08, FR</w:t>
      </w:r>
    </w:p>
    <w:p>
      <w:r>
        <w:rPr>
          <w:b/>
        </w:rPr>
        <w:t xml:space="preserve">Quelle: </w:t>
      </w:r>
      <w:r>
        <w:t>https://mcp.opencaselaw.ch/entscheid/vd_omni_PS.2015.0036</w:t>
      </w:r>
    </w:p>
    <w:p>
      <w:r>
        <w:t>FR: VD_OMNI PS.2015.0036 du 8 juillet 2015</w:t>
      </w:r>
    </w:p>
    <w:p>
      <w:r>
        <w:t>IT: VD_OMNI PS.2015.0036 del 8 luglio 2015</w:t>
      </w:r>
    </w:p>
    <w:p>
      <w:pPr>
        <w:pStyle w:val="Heading2"/>
      </w:pPr>
      <w:r>
        <w:t>Regeste</w:t>
      </w:r>
    </w:p>
    <w:p>
      <w:r>
        <w:t>X.________ /Instance juridique chômage Service de l'emploi, Office régional de placement de, CSR de la Broye-Vully | Bénéficiaire du RI qui tente de justifier son absence à une mesure d'insertion professionnelle en produisant deux certificats médicaux d'incapacité de travail. Constatant que la date de la reprise du travail sur le second certificat avait été modifiée, l'organisateur de la mesure a pris contact par téléphone avec le médecin, qui a indiqué n'avoir pas établi ce certificat. L'organisateur a alors mis un terme à la participation de l'intéressé à la mesure. Par la suite, après que son patient, menacé d'une sanction par l'ORP, fut venu en consultation chez lui, le médecin a affirmé qu'il n'était "pas exclu" qu'il ait lui-même modifié le certificat, même s'il ne l'avait pas noté et ne s'en souvenait pas. En se fondant sur les premières déclarations du médecin, l'ORP a réduit le forfait RI de l'intéressé de 25% pendant 4 mois pour avoir été renvoyé d'une mesure d'insertion et de 15% pendant 2 mois pour avoir donné de faux renseignements. Rejet du recours contre ces décisions. En effet, l'examen du certificat original - dont la production a été requise - fait apparaître la falsification comme (beaucoup) plus vraisemblable que la modification par le médecin. Par ailleurs, en présence d'un concours de motifs de suspension de nature différente, le cumul des deux sanctions n'est pas critiquable.</w:t>
      </w:r>
    </w:p>
    <w:p>
      <w:pPr>
        <w:pStyle w:val="Heading2"/>
      </w:pPr>
      <w:r>
        <w:t>Erwägungen</w:t>
      </w:r>
    </w:p>
    <w:p>
      <w:r>
        <w:rPr>
          <w:b/>
        </w:rPr>
        <w:t>E. 1</w:t>
      </w:r>
    </w:p>
    <w:p>
      <w:r>
        <w:t>a) Conformément à l'art. 79 al. 1 de la loi du 28 octobre 2008 sur la procédure administrative (LPA-VD; RSV 173.36), applicable par renvoi de l'art. 99 LPA-VD au recours de droit administratif, l'acte de recours doit être signé et indiquer les conclusions et motifs du recours. S'il ne satisfait pas à ces exigences, un bref délai est imparti à son auteur pour le corriger (art. 27 al.</w:t>
      </w:r>
    </w:p>
    <w:p>
      <w:r>
        <w:rPr>
          <w:b/>
        </w:rPr>
        <w:t>E. 4</w:t>
      </w:r>
    </w:p>
    <w:p>
      <w:r>
        <w:t>En l'occurrence, le bien-fondé des sanctions contestées dépend de la question de savoir si le certificat médical du 24 septembre 2014 a été modifié par le Dr Z.________, comme le prétend le recourant, ou par ce dernier, comme l'a retenu l'autorité intimée. Lorsqu'on examine l'original produit par le recourant, il apparaît clairement que la date de la reprise du travail a été modifiée. La date modifiée est "09 10/14", mais on distingue encore la date originelle, à savoir "29/9/14". La modification a été opérée en masquant le chiffre 2 par un 0 très appuyé, en transformant la première barre transversale de séparation en chiffre 1 et en masquant le 9 (pour septembre) qui suivait par un 0 très appuyé. Cette façon de faire indique la volonté de dissimuler – quoique de manière assez grossière – la modification. Or, on ne voit pas pourquoi le Dr Z.________, s'il avait voulu prolonger l'arrêt-maladie du recourant, aurait procédé de la sorte, plutôt que d'établir un nouveau certificat. En particulier, on ne voit pas pourquoi ce médecin aurait cherché à dissimuler la modification. En outre, le lendemain (1er octobre 2014) du jour où il a reçu le certificat en question, l'organisateur de la mesure a contacté par téléphone le Dr Z.________ qui a déclaré que l'arrêt de travail du recourant avait pris fin le 29 septembre 2014. Le médecin a confirmé cela dans sa réponse du 21 octobre 2014 au courrier de l'ORP du 20 octobre 2014, en excluant avoir établi un certificat de travail avec reprise le 9 octobre 2014. Ce n'est qu'après avoir reçu le recourant à son cabinet le 31 octobre 2014 et face aux dénégations de celui-ci qu'il a indiqué à l'ORP que son patient n'était "peut-être pas responsable de la modification du certificat" et qu'il n'était "pas exclu" qu'il l'ait lui-même modifié sans l'avoir noté et sans s'en souvenir (certificat médical du 31 octobre 2014). En s'exprimant de la sorte, le Dr Z.________ n'a nullement reconnu avoir modifié lui-même le certificat, contrairement à ce que le recourant affirme. Dans ces conditions, il est (beaucoup) plus vraisemblable que le certificat médical en question a été modifié par le recourant – qui l'a adressé à l'ORP –, plutôt que par son médecin. Partant, les sanctions litigieuses sont justifiées dans leur principe, étant précisé, s'agissant de celle prononcée du fait du renvoi, qu'il est constant que c'est en raison de l'usage du certificat "falsifié" que l'organisateur a mis un terme à la participation du recourant à la mesure.</w:t>
      </w:r>
    </w:p>
    <w:p>
      <w:r>
        <w:rPr>
          <w:b/>
        </w:rPr>
        <w:t>E. 5</w:t>
      </w:r>
    </w:p>
    <w:p>
      <w:r>
        <w:t>Il reste à examiner si les réductions du forfait mensuel d'entretien du recourant de respectivement 25% pendant quatre mois (pour avoir été renvoyé d'une mesure cantonale d'insertion professionnelle) et 15% pendant deux mois (pour avoir donné de faux renseignements) à titre de sanctions sont admissibles au regard de l’ensemble des circonstances. a) aa) En vertu de l'art. 23b LEmp, le non-respect par les bénéficiaires de leurs devoirs dans le cadre de leur prise en charge par l'ORP est sanctionné par une réduction des prestations financières au sens de la LASV. L'art. 12b al. 1 du règlement du 7 décembre 2005 d'application de la LEmp (RLEmp; RSV 822.11.1) dispose ce qui suit: " Art. 12b   Manquements et réduction des prestations (Art. 23b LEmp) 1 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Le Service de prévoyance et d’aide sociales (SPAS), dans sa directive sur les sanctions du RI du 1 er novembre 2008, précise qu’en cas de faute moyenne, une déduction de 15% du forfait durant 10-12 mois ou de 25% durant 3-4 mois pourra être imposée. En cas de faute grave, la diminution du forfait RI correspond à 25% pendant six à douze mois. Même si le SPAS n’est plus compétent pour décider de sanctions à l'égard de bénéficiaires du RI basées sur la LEmp depuis le 1 er novembre 2008, date à laquelle cette compétence a été attribuée aux ORP (art. 13b al. 3 LEmp), cette directive reste utile pour fixer la quotité de la sanction (cf. arrêt PS.2014.0093 du 14 avril 2015 consid. 4a). bb) En cas de concours de motifs de sanctions, il y a lieu d'appliquer par analogie les règles développées en matière d'assurance-chômage. Selon celles-ci, en présence d'un concours de motifs de suspension de nature différente ou de même nature, une suspension du droit à l'indemnité doit être prononcée séparément pour chaque manquement. Il n'y a pas de peine d'ensemble comme en droit pénal. La situation est différente en cas de concours de motifs de suspension de même nature, procédant de la même intention, comme par exemple lorsque l'assuré refuse plusieurs propositions de mesures de marché du travail dans le courant du même entretien à l'ORP. Dans ce cas, la faute doit être considérée dans son ensemble et une seule suspension doit être prononcée (Rubin, op. cit., nos 19 s. ad art. 30 LACI et les références). cc) 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LEmp ne prévoyant aucune disposition étendant le pouvoir de contrôle de l'autorité de recours à l'inopportunité en matière de mesures cantonales d'insertion professionnelle, ce motif ne saurait être examiné par le tribunal de céans (voir notamment arrêt PS.2011.0027 du 3 octobre 2011).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140 I 257 consid. 6.3.1 et les arrêts cités). b) aa) En l'occurrence, en présence d'un concours de motifs de suspension de nature différente (cf. consid. 5a/bb ci-dessus), c'est à bon droit que les autorités précédentes ont sanctionné le recourant à la fois pour avoir été renvoyé (fautivement) d'une mesure cantonale d'insertion professionnelle (violation du devoir de participer aux mesures d'insertion professionnelle au sens de l'art. 23a al. 2 let. a LEmp; renvoi d'une telle mesure au sens de l'art. 12b al. 1 let. c RLEmp) et pour avoir violé l'obligation de renseigner (au sens de l'art. 12b al. 1 let. e RLEmp). S'agissant de cette dernière disposition, on peut se référer par analogie à la jurisprudence du Tribunal fédéral selon laquelle l'établissement d'une fausse attestation de travail constitue une violation de l'obligation de renseigner prévue par l'art. 30 al. 1 let. e LACI (arrêt 8C_225/2011 du 9 mars 2012 consid. 3.2.3). bb) Du fait de son comportement, le recourant a été renvoyé d'une mesure de longue durée qui devait s'étendre sur près de cinq mois et augmenter ses chances de retrouver un emploi. Au regard de l'ensemble des circonstances du cas, il n'apparaît pas que l'autorité précédente aurait abusé de son pouvoir d'appréciation en confirmant la réduction du forfait mensuel d'entretien du recourant de 25% pendant quatre mois, ce qui correspond à une faute moyenne selon la directive citée ci-dessus (consid. 5a/aa). La réduction du forfait de 15% pendant deux mois pour avoir donné de faux renseignements ne prête pas davantage le flanc à la critique. D'ailleurs, le recours ne contient aucune motivation en ce qui concerne la quotité des sanctions prononcées.</w:t>
      </w:r>
    </w:p>
    <w:p>
      <w:r>
        <w:rPr>
          <w:b/>
        </w:rPr>
        <w:t>E. 6</w:t>
      </w:r>
    </w:p>
    <w:p>
      <w:r>
        <w:t>Manifestement mal fondé, le recours doit donc être rejeté selon la procédure simplifiée prévue à l'art. 82 LPA-VD, sans qu'il soit nécessaire d'ordonner un échange d'écritures. Partant, les décisions attaquées sont confirmées. Il n'y a pas lieu de percevoir des frais de justice (cf. art. 4 al. 2 du tarif du 11 décembre 2007 des frais judiciaires en matière de droit administratif et public [TFJAP; RSV 173.36.5.1]). Les autorités intimée et concernées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