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PS.2015.0023 vom 20. Mai 2015</w:t>
      </w:r>
    </w:p>
    <w:p>
      <w:r>
        <w:t>VD Tribunal cantonal, 2015-05-20, FR</w:t>
      </w:r>
    </w:p>
    <w:p>
      <w:r>
        <w:rPr>
          <w:b/>
        </w:rPr>
        <w:t xml:space="preserve">Quelle: </w:t>
      </w:r>
      <w:r>
        <w:t>https://mcp.opencaselaw.ch/entscheid/vd_omni_PS.2015.0023</w:t>
      </w:r>
    </w:p>
    <w:p>
      <w:r>
        <w:t>FR: VD_OMNI PS.2015.0023 du 20 mai 2015</w:t>
      </w:r>
    </w:p>
    <w:p>
      <w:r>
        <w:t>IT: VD_OMNI PS.2015.0023 del 20 maggio 2015</w:t>
      </w:r>
    </w:p>
    <w:p>
      <w:pPr>
        <w:pStyle w:val="Heading2"/>
      </w:pPr>
      <w:r>
        <w:t>Regeste</w:t>
      </w:r>
    </w:p>
    <w:p>
      <w:r>
        <w:t>X.________/Service de prévoyance et d'aide sociales, Centre social intercommunal de Montreux-Veytaux | Le refus de désigner un avocat d'office est justifié lorsque l'assistance d'un homme de loi ne s'avère pas nécessaire. Dans le cas particulier, même si la recourante est atteinte dans sa santé et ne maîtrise pas entièrement le français, elle s'est montrée à même de procéder seule. Même si les écritures manquaient parfois de clarté, l'autorité administrative a été en mesure d'en extraire les points litigieux à trancher et la recourante a produit spontanément les documents relatifs à ses prétentions ou complété ses arguments en cours de procédure. Recours au Tribunal Fédéral irrecevable faute de motivation suffisante. (Arrêt TF 8C_442/2015).</w:t>
      </w:r>
    </w:p>
    <w:p>
      <w:pPr>
        <w:pStyle w:val="Heading2"/>
      </w:pPr>
      <w:r>
        <w:t>Erwägungen</w:t>
      </w:r>
    </w:p>
    <w:p>
      <w:r>
        <w:rPr>
          <w:b/>
        </w:rPr>
        <w:t>E. 1</w:t>
      </w:r>
    </w:p>
    <w:p>
      <w:r>
        <w:t>La jonction de toutes les causes PS.2015.0023, PS.2015.0024 et PS.2015.0027 à PS.2015.0032 s'impose puisque celles-ci opposent les mêmes parties et s'inscrivent dans un même état de fait, relatif à la fixation de prestations du RI. Elles se rapportent également à une cause juridique commune car est en cause le refus de l'autorité intimée d'accorder à la recourante le bénéfice de l'assistance judiciaire (cf. art. 24 al. 1 de la loi sur la procédure administrative du 28 octobre 2008 [ LPA-VD; RSV 173.36 ] ).</w:t>
      </w:r>
    </w:p>
    <w:p>
      <w:r>
        <w:rPr>
          <w:b/>
        </w:rPr>
        <w:t>E. 2</w:t>
      </w:r>
    </w:p>
    <w:p>
      <w:r>
        <w:t>L'objet des litiges, désormais joints, est circonscrit par les actes de recours déposés devant la CDAP – quasi identiques -, qui indiquent les conclusions et les motifs (art. 79 al. 1 LPA-VD). En l'occurrence, la recourante reproche à l'autorité inférieure de lui avoir refusé le droit d'être assistée d'un avocat, considérant que les conclusions prises devant elle paraissaient tantôt d'emblée irrecevables, tantôt manifestement mal fondées. Elle demande (dans la plupart de ses recours) que la décision attaquée soit annulée et que le dossier soit renvoyé à l'autorité intimée afin qu'elle puisse procéder devant celle-ci avec l'assistance d'un conseil d'office. En conséquence, seul est litigieux le droit éventuel de la recourante à la désignation d'un avocat d'office car, pour le reste, la procédure est en principe gratuite (cf. art. 4 al. 2 du tarif des frais judiciaires en matière de droit administratif et public, du 11 décembre 2007 - TFJAP; RSV 173.36.5.1). a) Selon l'art. 29 al. 3 de la Constitution fédérale de la Confédération suisse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de la loi vaudoise sur la procédure administrative du 28 octobre 2008 (LPA-VD; RSV 173.36)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 respectivement de la désignation d'un avocat - et les chances de succès de la démarche entreprise (ATF 135 I 1 consid. 7.1 p. 2; 91 consid. 2.4.2.2, p. 96; 134 I 92 consid. 3.2.1 p. 99, et les arrêts cités; arrêt GE.2012.0032 du 6 juin 2012 consid. 2a).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134 I 92 consid. 3.2.1 p. 99; 130 I 180 consid. 2.2 p. 182; 128 I 225 consid. 2.5.2 p. 232 et les arrêts cités; arrêt RE.2004.0012 du 20 août 2004).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Le fait que la procédure soit, comme en l'espèce, régie par la maxime d'office, n'exclut pas, ipso facto, le droit à l'assistance d'un mandataire (ATF 130 I 180 consid. 3.2 p. 183; 125 V 32 consid. 4b p. 36 et les arrêts cités). La maxime d'office ne garantit pas que l'administration appliquera correctement la loi, ou que le déroulement de la procédure sera irréprochable; en outre, l'expérience montre qu'une procédure mal engagée est difficile à remettre sur les rails. Enfin, l'assistance d'un mandataire peut aider à ce que toutes les offres de preuve nécessaires à l'éclaircissement des faits soient soumises à l'autorité (ATF 130 I 180 consid. 3.2 p. 183/184). La jurisprudence n'admet qu'exceptionnellement le droit au concours d'un mandataire dans ce type de situation (arrêts RE.2004.0012 du 20 août 2004; RE.2003.0017 du</w:t>
      </w:r>
    </w:p>
    <w:p>
      <w:r>
        <w:rPr>
          <w:b/>
        </w:rPr>
        <w:t>E. 5</w:t>
      </w:r>
    </w:p>
    <w:p>
      <w:r>
        <w:t>mai 2003; RE.2002.0043 du 30 avril 2003, et les arrêts cités). Le point de savoir si l'assistance d'un avocat est nécessaire (ou du moins indiquée) doit être tranché d'après les circonstances concrètes objectives et subjectives du cas; pratiquement, il convient d'apprécier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(cf. ATF 8C_297/2008 du 23 septembre 2008 consid. 3.2 et les références). b) En l'espèce, l'indigence de la recourante doit être considérée comme avérée. L'autorité intimée a considéré ensuite que les recours apparaissaient d'emblée soit dénués de chances de succès, soit irrecevables. Il est vrai, par exemple, que les demandes de dommages-intérêts ne relèvent pas de la compétence du SPAS, ni de la CDAP, de sorte que les conclusions y relatives sont en effet d'emblée irrecevables. Cela dit, la conclusion du SPAS est un peu hâtive, sachant que le SPAS a tout de même fait droit à certaines des conclusions de la recourante et a réformé d'office les décisions du CSI au sujet du montant alloué au titre du RI, même s'il s'agit d'une rectification mineure représentant 10 fr. par mois. Sans oublier le fait que l'autorité intimée a été parfois amenée à examiner dans le détail certaines prétentions avant de les rejeter. Ceci dit, se pose aussi la question de savoir si la désignation d'un avocat était nécessaire. La recourante est de cet avis. Elle expose qu'elle est atteinte dans sa santé, de sorte qu'elle n'est pas en mesure de réunir tous les éléments propres à faire valoir ses droits, d'où le besoin d'être aidée par un homme de loi. La recourante met également en avant le fait que, de langue maternelle anglaise, elle ne maîtrise pas entièrement le français. Elle se réfère également au conflit qui l'oppose au CSI, qui ne ferait pas suffisamment cas de ses demandes et lui causerait des dommages. Il est vrai que la recourante est atteinte dans sa santé. Il est également vrai que cette dernière ne maîtrise pas entièrement le français. Or, le SPAS a admis que la recourante procède dans sa langue maternelle et même si les écrits de la recourante manquent de structure et de clarté, cette autorité a été en mesure d'en extraire les points litigieux à trancher. En outre, la recourante a produit les documents relatifs à ses prétentions – par exemple les factures de frais de transport dont elle réclame le remboursement. En cours de procédure, elle a également spontanément complété ses arguments en déposant des déterminations. Enfin, s'agissant de procédures relatives à des prestations sociales soumises à la maxime d'office, l'exigence en matière de motivation des recours n'est pas particulièrement poussée. Dans ces conditions, on doit conclure que la situation de la recourante ne présente pas de difficultés, de fait ou de droit, qu'elle ne puisse surmonter seule, même si, avec la multiplication des procédures, on peut comprendre que la recourante se sente submergée et même si, en rendant le même jour huit décisions sur recours la concernant, le SPAS ne facilite pas la tâche de cette dernière. Partant, l'assistance d'un avocat ne s'imposait pas et c'est à juste titre que l'autorité intimée a refusé la demande d'assistance judiciaire. Il n'y a donc pas lieu d'annuler les décisions attaquées, comme le demande la recourante, pour le seul motif que son droit à l'assistance judiciaire aurait été violé. 3. Vu ce qui précède, les recours doivent être rejetés et les décisions attaquées confirmées. Dès lors qu'il ressort d'emblée du dossier que les recours devant la CDAP sont manifestement mal fondés, la demande d'assistance judiciaire de la recourante, sous la forme de la désignation d'un avocat d'office, doit être rejetée (art. 18 al. 2 LPA-VD). Il n'y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