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PS.2014.0110 vom 22. April 2015</w:t>
      </w:r>
    </w:p>
    <w:p>
      <w:r>
        <w:t>VD Tribunal cantonal, 2015-04-22, FR</w:t>
      </w:r>
    </w:p>
    <w:p>
      <w:r>
        <w:rPr>
          <w:b/>
        </w:rPr>
        <w:t xml:space="preserve">Quelle: </w:t>
      </w:r>
      <w:r>
        <w:t>https://mcp.opencaselaw.ch/entscheid/vd_omni_PS.2014.0110</w:t>
      </w:r>
    </w:p>
    <w:p>
      <w:r>
        <w:t>FR: VD_OMNI PS.2014.0110 du 22 avril 2015</w:t>
      </w:r>
    </w:p>
    <w:p>
      <w:r>
        <w:t>IT: VD_OMNI PS.2014.0110 del 22 aprile 2015</w:t>
      </w:r>
    </w:p>
    <w:p>
      <w:pPr>
        <w:pStyle w:val="Heading2"/>
      </w:pPr>
      <w:r>
        <w:t>Regeste</w:t>
      </w:r>
    </w:p>
    <w:p>
      <w:r>
        <w:t>X._____________ c/Instance juridique chômage Service de l'emploi, Office régional de placement de Lausanne, Centre social régional de Lausanne | Il n'y a pas de raison de s'écarter de la sanction minimale prévue par l'art. 12b al. 3 RLemp, savoir une réduction du forfait RI de 15 % pendant deux mois lorsqu'il est reproché au bénéficiaire, dont c'est le premier manquement, d'avoir remis la preuve de ses recherches d'emploi après l'échéance du délai prescrit. Recours partiellement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L’assuré doit cibler ses recherches d’emploi, en règle générale selon les méthodes de postulation ordinaires.</w:t>
      </w:r>
    </w:p>
    <w:p>
      <w:r>
        <w:rPr>
          <w:b/>
        </w:rPr>
        <w:t>E. 2</w:t>
      </w:r>
    </w:p>
    <w:p>
      <w:r>
        <w:t>Il doit remettre la preuve de ses recherches d’emploi pour chaque période de contrôle au plus tard le cinq du mois suivant ou le premier jour ouvrable qui suit cette date. A l’expiration de ce délai, et en l’absence d’excuse valable, les recherches d’emploi ne sont plus prises en considération.</w:t>
      </w:r>
    </w:p>
    <w:p>
      <w:r>
        <w:rPr>
          <w:b/>
        </w:rPr>
        <w:t>E. 3</w:t>
      </w:r>
    </w:p>
    <w:p>
      <w:r>
        <w:t>Les considérants qui précèdent conduisent à l'admission partielle du recours en ce sens que la sanction litigieuse est ramenée à une réduction de 15 % du forfait d'entretien du recourant pendant deux mois. La décision attaquée est au surplus confirmée. Le présent arrêt est rendu sans frais (cf. art. 4 al. 2 du tarif du 11 décembre 2007 des frais judiciaires en matière de droit administratif et public [TFJAP; RSV 173.36.5.1]). Il n'y a pas lieu d'allouer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