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PS.2014.0099 vom 29. Januar 2015</w:t>
      </w:r>
    </w:p>
    <w:p>
      <w:r>
        <w:t>VD Tribunal cantonal, 2015-01-29, FR</w:t>
      </w:r>
    </w:p>
    <w:p>
      <w:r>
        <w:rPr>
          <w:b/>
        </w:rPr>
        <w:t xml:space="preserve">Quelle: </w:t>
      </w:r>
      <w:r>
        <w:t>https://mcp.opencaselaw.ch/entscheid/vd_omni_PS.2014.0099</w:t>
      </w:r>
    </w:p>
    <w:p>
      <w:r>
        <w:t>FR: VD_OMNI PS.2014.0099 du 29 janvier 2015</w:t>
      </w:r>
    </w:p>
    <w:p>
      <w:r>
        <w:t>IT: VD_OMNI PS.2014.0099 del 29 gennaio 2015</w:t>
      </w:r>
    </w:p>
    <w:p>
      <w:pPr>
        <w:pStyle w:val="Heading2"/>
      </w:pPr>
      <w:r>
        <w:t>Regeste</w:t>
      </w:r>
    </w:p>
    <w:p>
      <w:r>
        <w:t>X.________ c /Service de prévoyance et d'aide sociales, Centre social régional de Lausanne | Recours déposé par voie de messagerie électronique. Comme il ne satisfait pas aux conditions de forme (signature manuscrite) posées par la loi, un délai doit être imparti à son auteur pour corriger le vice. Lorsque la messagerie électronique est d'usage courant pour les communications entre l'autorité et l'administré, l'autorité adopterait un comportement contradictoire, prohibé par l'art. 5 Cst et la jurisprudence, si elle s'abstenait sciemment d'utiliser la voie électronique pour cette communication. Annulation d'une décision d'irrecevabilité du SPAS qui s'est adressé par lettres recommandées, toutes venues en retour, à l'avant-dernière adresse en Suisse de la recourante alors que celle-ci avait précisé qu'elle avait quitté la Suisse et communiqué sa nouvelle adresse au Contrôle des habitants. Irrégulières, ces notifications ne doivent entraîner aucune préjudice pour la recourante.</w:t>
      </w:r>
    </w:p>
    <w:p>
      <w:pPr>
        <w:pStyle w:val="Heading2"/>
      </w:pPr>
      <w:r>
        <w:t>Erwägungen</w:t>
      </w:r>
    </w:p>
    <w:p>
      <w:r>
        <w:rPr>
          <w:b/>
        </w:rPr>
        <w:t>E. 1</w:t>
      </w:r>
    </w:p>
    <w:p>
      <w:r>
        <w:t>L'acte de recours doit être signé et indiquer les conclusions et motifs du recours. La décision attaquée est jointe au recours.</w:t>
      </w:r>
    </w:p>
    <w:p>
      <w:r>
        <w:rPr>
          <w:b/>
        </w:rPr>
        <w:t>E. 2</w:t>
      </w:r>
    </w:p>
    <w:p>
      <w:r>
        <w:t>Lorsque les besoins de l'instruction l'exigent, l'autorité peut tenir audience.</w:t>
      </w:r>
    </w:p>
    <w:p>
      <w:r>
        <w:rPr>
          <w:b/>
        </w:rPr>
        <w:t>E. 3</w:t>
      </w:r>
    </w:p>
    <w:p>
      <w:r>
        <w:t>Le Tribunal cantonal peut ordonner des débats.</w:t>
      </w:r>
    </w:p>
    <w:p>
      <w:r>
        <w:rPr>
          <w:b/>
        </w:rPr>
        <w:t>E. 4</w:t>
      </w:r>
    </w:p>
    <w:p>
      <w:r>
        <w:t>L'autorité renvoie les écrits peu clairs, incomplets, prolixes, inconvenants ou qui ne satisfont pas aux conditions de forme posées par la loi.</w:t>
      </w:r>
    </w:p>
    <w:p>
      <w:r>
        <w:rPr>
          <w:b/>
        </w:rPr>
        <w:t>E. 5</w:t>
      </w:r>
    </w:p>
    <w:p>
      <w:r>
        <w:t>Elle impartit un bref délai à leurs auteurs pour les corriger. Les écrits qui ne sont pas produits à nouveau dans ce délai, ou dont les vices ne sont pas corrigés, sont réputés retirés. L'autorité informe les auteurs de ces conséquences. a) En l'espèce, le SPAS a statué comme autorité de recours contre les décisions des différents CSR répartis dans le canton. Il a rendu une décision qui considère que le recours n'était pas signé et que la décision attaquée n'y était pas jointe, que la recourante était réputée avoir reçu à l'échéance du délai de garde le courrier recommandé qui l'invitait à corriger ces vices, et qu'a défaut de correction du vice, le recours était réputé retiré (selon la formule de l'art. 27 al. 5 LPA-VD), d'où le dispositif de la décision selon lequel "la cause est rayée du rôle", ce qui équivaut à une décision d'irrecevabilité du recours ( AC.2012.0392 du 31 janvier 2013). b) Le tribunal constate tout d'abord qu'il n'est pas contesté que le courrier électronique de la recourante au SPAS du 12 août 2014 est constitutif d'un recours. En effet, la recourante y exprime la volonté de contester une décision du 16 juillet 2014 en invoquant son état de santé. Se pose cependant la question du respect de la forme écrite (art. 27 al. 1 LPA-VD). En effet, l'exigence de la forme écrite implique celle d'une signature manuscrite (art. 14 al. 1 CO; cf., sur cette question, arrêts GE.2010.0047 du 21 juin 2010, s'agissant de l'absence de signature d'une décision notifiée par message électronique). Or, un courrier électronique ne comporte, par définition, pas de signature manuscrite de son auteur. Il ne respecte pas la règle spéciale de l'art. 79 al. 1 LPA-VD qui prévoit que l'acte de recours doit être signé. Le tribunal a déjà constaté qu'un recours déposé par courrier électronique n'apparaît pas d'emblée irrecevable si l'on se référe à la jurisprudence rendue en matière de recours déposé par fax (AC. 2007.0210 du 17 mars 2008, qui laisse cependant la question indécise). Le tribunal a aussi jugé qu'un recours rédigé en anglais et par le truchement du courrier électronique doit être déclaré irrecevable si son auteur n’obtempère pas dans le délai imparti pour corriger ce vice (PE.2013.0494 du 5 février 2014). Ainsi, même si un message électronique n'est pas à proprement parler un écrit, un recours déposé par ce moyen ne peut pas être considéré comme absolument inexistant. Il doit être traité comme un recours qui, au sens de l'art. 27 al. 4 LPA-VD, ne satisfait pas aux conditions de forme posées par la loi. C'est donc à juste titre, sur le principe, que le SPAS, conformément à l'art. 27 al. 5 LPA-VD, a imparti à la recourante un délai pour corriger le vice. 2. Plus délicate est en revanche la question de la régularité des communications que le SPAS a adressées à la recourante. Chargée de l'instruction d'un recours, l'autorité communique en principe par écrit avec les recourants (art. 27 al. 1 LPA-VD). L'art. 44 al. 1 LPA-VD prévoit en outre, pour la notification des décisions, la forme du pli recommandé ou de l'acte judiciaire. La loi vaudoise ne prévoit pas l'usage de la messagerie électronique. Il y a toutefois lieu de tenir compte du principe de la bonne foi. Aux termes de l'art. 5 al. 3 Cst., les organes de l'État et les particuliers doivent agir de manière conforme aux règles de la bonne foi. Selon la jurisprudence du Tribunal fédéral (v. p. ex. 1C_291/2014 du 1 er décembre 2014, consid. 3.3) , cela implique notamment qu'ils s'abstiennent d'adopter un comportement contradictoire ou abusif (ATF 134 V 306 consid. 4.2 p. 312).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p. 73). Lorsque l'autorité est saisie d'un recours déposé par voie électronique, il paraîtrait logique et expédient qu'elle utilise à son tour la voie du message électronique pour impartir au justiciable, conformément à l'art. 27 al. 5 LPA-VD, un délai pour corriger le vice. Cas échéant, un tel message indiquera que l'envoi d'un courriel est exceptionnel et enjoindra son destinataire d'intervenir désormais par écrit. On peut se demander si, pour envoyer cette communication, l'autorité est tenue de procéder par voie électronique, ou si elle reste libre d'y renoncer pour s'en tenir à l'envoi d'une communication écrite par voie postale, cas échéant sous pli recommandé. Le tribunal juge à cet égard qu'au moins lorsque la messagerie électronique est d'usage courant pour les communications entre l'autorité et l'administré, l'autorité adopterait un comportement contradictoire, prohibé par l'art. 5 Cst et la jurisprudence rappelée ci-dessus, si elle s'abstenait sciemment d'utiliser la voie électronique pour signaler à l'auteur du recours que son acte doit respecter la forme écrite impliquant une signature manuscrite et lui impartir un délai pour corriger le vice. En l'espèce, il résulte du dossier que le CSR et le SPAS ont régulièrement correspondu avec la recourante par voie de courrier électronique. Cependant, à réception du recours formé le 12 août 2014 par cette voie, le SPAS s'est abstenu de répondre par ce canal et il s'est adressé à la recourante par pli recommandé pour l'inviter à signer son recours. Il a ainsi mis la recourante hors d'état de remédier au défaut affectant son recours. En effet, quand bien même la recourante indiquait dans son courriel du 12 août 2014 qu'elle avait quitté la Suisse, le SPAS lui a néanmoins adressé des envois recommandés à l'adresse de l'Hôtel des 1******** à Lausanne (on ignore d'où le SPAS a tiré cette indication) alors que cette adresse n'était plus actuelle: il s'agit de l'avant-dernière adresse en Suisse enregistrée par le Contrôle des habitants. Or au moment du recours, ce dernier avait déjà enregistré (et communiqué au CSR de Lausanne) le départ de la recourante de l'Hôtel du ******** à Chexbres et sa nouvelle adresse en Angleterre. L'envoi à une adresse dépassée de courriers recommandés qui revenaient systématiquement en retour ne peut pas être considéré comme régulier en regard du fait que la recourante avait annoncé son départ de Suisse. Conformément à un principe général du droit administratif (cf art. 38 PA et 49 LTF), une notification irrégulière ne doit entraîner aucun préjudice pour les parties (p. ex. ATF 1C_448/2012 du 16 avril 2013; 2C_347/2010 du 4 octobre 2010, consid. 2.2; arrêts CDAP PE.2013.0274 du 30 juillet 2014; GE.2011.0176 du 27 avril 2012; PE.2012.0020 du 14 février 2012 ). La décision attaquée ne peut donc pas fonder l'irrecevabilité du recours sur le fait que la recourante n'a pas corrigé l'absence de signature dans le délai imparti, puisque ce délai ne lui a pas été valablement communiqué. Il résulte de ce qui précède qu'il y a lieu d'annuler la décision attaquée qui, en rayant la cause du rôle, prononce l'irrecevabilité du recours. La cause est renvoyée au SPAS pour qu'il impartisse un délai supplémentaire à la recourante ou à son mandataire pour signer le recours. La condition de la production de la décision attaquée est désormais remplie puisque dans l'intervalle le CSR a produit son dossier. Ce n'est que lorsque le recours devant le SPAS aura été signé que cette autorité pourra entrer en matière sur le fond, dont l'objet sera probablement limité du fait que la recourante a quitté la Suisse peu après la date à partir de laquelle la décision attaquée a réduit la prise en charge de son hébergement. Quant aux autres interventions du conseil de la recourante relatives à la prise en charge des frais de garde-meubles de la recourante, elles sortent de l'objet du litige (limité à la prise charge de l'hébergement selon la décision attaquée) et ne sauraient être examinées en l'état par le tribunal. 3. Le recours est admis partiellement. En effet, à ce stade, le recours devant le SPAS n'est toujours pas signé et en l'état il ne peut être déclaré recevable. Partant, il se justifie de rejeter la conclusion III de la recourante qui tend à déclarer le recours recevable. Ce n'est en effet que lorsque le recours devant le SPAS sera signé que la question de sa recevabilité pourra être tranchée. Les conclusions subsidiaires IV et V du recours sont en revanche admises et le dossier renvoyé à l'autorité intimée pour qu'elle agisse dans le sens des considérants. Le présent arrêt est rendu sans frais. Obtenant partiellement gain de cause devant la CDAP par l'intermédiaire d'un mandataire professionnel d'office, la recourante a droit à des dépens partiels (art. 55 et 99 de la loi sur la procédure administrative du 28 octobre 2008 [LPA-VD; RSV 173.36] ). Il convient enfin de statuer sur l'indemnité due au conseil d'office de la recourante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18 décembre 2014, le conseil d'office de la recourante a annoncé avoir consacré à l'affaire un temps de 10.5 heures, ce qui paraît approprié aux nécessités du cas. Il convient dès lors d'allouer au mandataire d'office une indemnité correspondant à 1'890 francs. A ce montant s'ajoute celui de 124 fr.20 pour les débours. Compte tenu de la TVA au taux de 8 %, l'indemnité totale s'élève à 2'175 fr. 30, dont à déduire le montant perçu ci-dessus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