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PS.2014.0070 vom 15. Oktober 2014</w:t>
      </w:r>
    </w:p>
    <w:p>
      <w:r>
        <w:t>VD Tribunal cantonal, 2014-10-15, FR</w:t>
      </w:r>
    </w:p>
    <w:p>
      <w:r>
        <w:rPr>
          <w:b/>
        </w:rPr>
        <w:t xml:space="preserve">Quelle: </w:t>
      </w:r>
      <w:r>
        <w:t>https://mcp.opencaselaw.ch/entscheid/vd_omni_PS.2014.0070</w:t>
      </w:r>
    </w:p>
    <w:p>
      <w:r>
        <w:t>FR: VD_OMNI PS.2014.0070 du 15 octobre 2014</w:t>
      </w:r>
    </w:p>
    <w:p>
      <w:r>
        <w:t>IT: VD_OMNI PS.2014.0070 del 15 ottobre 2014</w:t>
      </w:r>
    </w:p>
    <w:p>
      <w:pPr>
        <w:pStyle w:val="Heading2"/>
      </w:pPr>
      <w:r>
        <w:t>Regeste</w:t>
      </w:r>
    </w:p>
    <w:p>
      <w:r>
        <w:t>X.________/Service de prévoyance et d'aide sociales, Centre social régional de l'Ouest-Lausannois | La décision du CSR envoyée sous pli recommandé n'a pas pu être distribuée, de sort qu'elle est réputée notifiée le dernier jour du délai de garde. Recours tardif et, partant, irrecevable. Demande de restitution du délai de recours rejetée, le motif invoqué (pile de courriers dans laquelle se trouvait la décision envoyée une seconde fois par le CSR en courrier prioritaire égarée par sa colocataire) n'étant pas pertinent.</w:t>
      </w:r>
    </w:p>
    <w:p>
      <w:pPr>
        <w:pStyle w:val="Heading2"/>
      </w:pPr>
      <w:r>
        <w:t>Erwägungen</w:t>
      </w:r>
    </w:p>
    <w:p>
      <w:r>
        <w:rPr>
          <w:b/>
        </w:rPr>
        <w:t>E. 1</w:t>
      </w:r>
    </w:p>
    <w:p>
      <w:r>
        <w:t>a) Le recours au Tribunal cantonal s'exerce dans les 30 jours dès la notification de la décision ou du jugement attaqués (art. 95 LPA-VD).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w:t>
      </w:r>
    </w:p>
    <w:p>
      <w:r>
        <w:rPr>
          <w:b/>
        </w:rPr>
        <w:t>E. 2</w:t>
      </w:r>
    </w:p>
    <w:p>
      <w:r>
        <w:t>b) U 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Le présent arrêt est rendu sans frais (art.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