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PS.2014.0058 vom 11. August 2014</w:t>
      </w:r>
    </w:p>
    <w:p>
      <w:r>
        <w:t>VD Tribunal cantonal, 2014-08-11, FR</w:t>
      </w:r>
    </w:p>
    <w:p>
      <w:r>
        <w:rPr>
          <w:b/>
        </w:rPr>
        <w:t xml:space="preserve">Quelle: </w:t>
      </w:r>
      <w:r>
        <w:t>https://mcp.opencaselaw.ch/entscheid/vd_omni_PS.2014.0058</w:t>
      </w:r>
    </w:p>
    <w:p>
      <w:r>
        <w:t>FR: VD_OMNI PS.2014.0058 du 11 août 2014</w:t>
      </w:r>
    </w:p>
    <w:p>
      <w:r>
        <w:t>IT: VD_OMNI PS.2014.0058 del 11 agosto 2014</w:t>
      </w:r>
    </w:p>
    <w:p>
      <w:pPr>
        <w:pStyle w:val="Heading2"/>
      </w:pPr>
      <w:r>
        <w:t>Regeste</w:t>
      </w:r>
    </w:p>
    <w:p>
      <w:r>
        <w:t>X.________ /Service de prévoyance et d'aide sociales, Centre social intercommunal de Montreux-Veytaux | Recours contre une décision de jonction prononcée par le SPAS. La recourante semble croire que la jonction aurait pour effet que l'un de ses recours ne serait pas traité. Cette crainte est sans fondement. La recourante n'indique pas quel autre préjudice pourrait lui causer la jonction des deux recours et le tribunal n'en discerne pas non plus. Il convient ainsi de considérer que l'on est en présence d'une décision incidente ne causant aucun préjudice irréparable à la recourante et non susceptible de recours. Irrecevabilité du recours et rejet de la demande d'assistance judiciaire.</w:t>
      </w:r>
    </w:p>
    <w:p>
      <w:pPr>
        <w:pStyle w:val="Heading2"/>
      </w:pPr>
      <w:r>
        <w:t>Erwägungen</w:t>
      </w:r>
    </w:p>
    <w:p>
      <w:r>
        <w:rPr>
          <w:b/>
        </w:rPr>
        <w:t>E. 1</w:t>
      </w:r>
    </w:p>
    <w:p>
      <w:r>
        <w:t>La décision attaquée a été prise sur la base de l'art. 24 al. 1 LPA-VD, applicable aux recours traités par le SPAS selon l'art. 74 al. 2 de la loi du 2 décembre 2003 sur l'action sociale vaudoise (LASV; RSV 850.051) et aux termes duquel l'autorité peut, d'office ou sur requête, joindre en une même procédure des affaires qui se rapportent à une situation de fait identique ou à une cause juridique commune.</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La notion de décision finale ou incidente, inspirée des art. 92 et 93 de la loi du 17 juin 2005 sur le Tribunal fédéral (LTF; RS 173.110), s’interprète à la lumière de la jurisprudence développée au regard de ces dispositions (arrêt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Par dommage irréparable au sens de l’art. 74 al. 4 let. a LPA-VD (assimilable sur ce point à l’art. 93 al. 1 let. a LTF), on entend exclusivement le  dommage juridique qui ne peut pas être réparé ultérieurement, notamment par le jugement final,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 GE.2009.0038, précité, consid. 1c). La décision de jonction de causes ne constitue qu'une étape dans le cadre de l’instruction d’un recours et ne met pas fin à la procédure. Elle est dès lors considérée comme une décision incidente (cf. par exemple ATF 4A_341/2013 du 18 novembre 2013, 1B_168/2013 du 30 avril 2013). La jurisprudence considère généralement que les décisions de jonction de causes ne causent pas de dommage irréparable (cf. ATF 1B_110/2014, 1B_111/2014, 1B_112/2014 du 19 mars 2014 consid. 2.2). b) En l’espèce, la recourante semble croire que la jonction aurait pour effet que l’un de ses recours ne serait pas traité. Cette crainte est sans fondement. Les questions de fond posées par les deux recours pourront et devront être examinées à l’occasion de la procédure de fond par l’autorité intimée, indépendamment du fait que les causes soient jointes ou non. La recourante n’indique pas quel autre préjudice pourrait lui causer la jonction des deux recours et le tribunal n’en discerne pas non plus. Il convient ainsi de considérer que l’on est en présence d'une décision incidente ne causant aucun préjudice irréparable à la recourante et non susceptible de recours au sens de l’art. 74 al. 4 let. a LPA-VD. 3. Les considérants qui précèdent conduisent à l’irrecevabilité du recours et à la confirmation de la décision attaquée selon la procédure de jugement immédiat de l'art. 82 LPA-VD. Les conclusions du présent recours paraissaient d'emblée vouées à l'échec, de sorte qu'il y a lieu de rejeter la demande d'assistance judiciaire (cf. art. 18 al. 1 et 2 LPA-VD). Le présent arrêt est rendu sans frais (art. 61 let. a de la loi fédérale du 6 octobre 2000 sur la partie générale du droit des assurances sociales [LPGA; RS 830.1] et 45 al. 1 LPA-VD). La recourante, qui succombe et qui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