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PS.2014.0035 vom 11. Juni 2014</w:t>
      </w:r>
    </w:p>
    <w:p>
      <w:r>
        <w:t>VD Tribunal cantonal, 2014-06-11, FR</w:t>
      </w:r>
    </w:p>
    <w:p>
      <w:r>
        <w:rPr>
          <w:b/>
        </w:rPr>
        <w:t xml:space="preserve">Quelle: </w:t>
      </w:r>
      <w:r>
        <w:t>https://mcp.opencaselaw.ch/entscheid/vd_omni_PS.2014.0035</w:t>
      </w:r>
    </w:p>
    <w:p>
      <w:r>
        <w:t>FR: VD_OMNI PS.2014.0035 du 11 juin 2014</w:t>
      </w:r>
    </w:p>
    <w:p>
      <w:r>
        <w:t>IT: VD_OMNI PS.2014.0035 del 11 giugno 2014</w:t>
      </w:r>
    </w:p>
    <w:p>
      <w:pPr>
        <w:pStyle w:val="Heading2"/>
      </w:pPr>
      <w:r>
        <w:t>Regeste</w:t>
      </w:r>
    </w:p>
    <w:p>
      <w:r>
        <w:t>X.________/Instance juridique chômage Service de l'emploi, Office régional de placement de Lausanne, Centre social régional de Lausanne | Bénéficiaire du RI qui interrompt la mesure d'insertion professionnelle qui lui a été assignée. La sanction prononcée, une réduction du forfait RI de 15% pendant 4 mois, apparaît excessive, compte tenu du fait que la recourante n'est pas en opposition de principe à toute mesure et que ses réticences procèdent plus d'une méconnaissance du système que de la mauvaise foi. Pour ces motifs, il convient de s'en tenir au minimum légal, soit à une réduction de 15% pendant 2 mois. Recours partiellement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l’art. 95 de la loi vaudoise du 28 octobre 2008 sur la procédure administrative (LPA-VD; RSV 173.36), le recours est intervenu en temps utile. Il respecte au surplus les conditions formelles énoncées à l’art. 79 LPA-VD.</w:t>
      </w:r>
    </w:p>
    <w:p>
      <w:r>
        <w:rPr>
          <w:b/>
        </w:rPr>
        <w:t>E. 2</w:t>
      </w:r>
    </w:p>
    <w:p>
      <w:r>
        <w:t>Le refus d'observer d'autres instructions entraîne une diminution des prestations financières après un avertissement 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Les considérants qui précèdent conduisent à l'admission partielle du recours et à la réforme de la décision attaquée  en ce sens que la réduction du forfait mensuel de la recourante est limitée à deux mois. L'arrêt sera rendu sans frais (art. 52 al. 1 LPA-VD), ni allocation de dépens, la recourante n'ayant pas agi par l'intermédiaire d'un mandataire professionnel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