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PS.2014.0032 vom 28. Mai 2014</w:t>
      </w:r>
    </w:p>
    <w:p>
      <w:r>
        <w:t>VD Tribunal cantonal, 2014-05-28, FR</w:t>
      </w:r>
    </w:p>
    <w:p>
      <w:r>
        <w:rPr>
          <w:b/>
        </w:rPr>
        <w:t xml:space="preserve">Quelle: </w:t>
      </w:r>
      <w:r>
        <w:t>https://mcp.opencaselaw.ch/entscheid/vd_omni_PS.2014.0032</w:t>
      </w:r>
    </w:p>
    <w:p>
      <w:r>
        <w:t>FR: VD_OMNI PS.2014.0032 du 28 mai 2014</w:t>
      </w:r>
    </w:p>
    <w:p>
      <w:r>
        <w:t>IT: VD_OMNI PS.2014.0032 del 28 maggio 2014</w:t>
      </w:r>
    </w:p>
    <w:p>
      <w:pPr>
        <w:pStyle w:val="Heading2"/>
      </w:pPr>
      <w:r>
        <w:t>Regeste</w:t>
      </w:r>
    </w:p>
    <w:p>
      <w:r>
        <w:t>X.________ /Instance juridique chômage Service de l'emploi, Office régional de placement d'Yverdon-les-Bains, CSR-Yverdon-Grandson | Bénéficiaire du RI qui ne s'est pas présenté à un entretien de conseil et de contrôle. L'intéressé ayant déjà commis un manquement les 12 mois précédant cet oubli, il ne peut bénéficier de la jurisprudence TF 8C_447/2008. Sanction confirmée dans son principe et sa quotité, la réduction prononcée correspondant au minimum légal en cas de rendez-vous non respecté.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dans le délai de trente jours fixé par l’art. 95 de la loi vaudoise du 28 octobre 2008 sur la procédure administrative (LPA-VD; RSV 173.36), le recours est intervenu en temps utile. Il respecte au surplus les conditions formelles énoncées à l’art. 79 LPA-VD.</w:t>
      </w:r>
    </w:p>
    <w:p>
      <w:r>
        <w:rPr>
          <w:b/>
        </w:rPr>
        <w:t>E. 2</w:t>
      </w:r>
    </w:p>
    <w:p>
      <w:r>
        <w:t>Le refus d'observer d'autres instructions entraîne une diminution des prestations financières après un avertissement .</w:t>
      </w:r>
    </w:p>
    <w:p>
      <w:r>
        <w:rPr>
          <w:b/>
        </w:rPr>
        <w:t>E. 3</w:t>
      </w:r>
    </w:p>
    <w:p>
      <w:r>
        <w:t>Le montant et la durée de la réduction, fixés en fonction du type, de la gravité et de la répétition du manquement, sont de 15% ou de 25% du forfait, pour une durée de 2 à 12 mois. La réduction du forfait ne touche pas la part affectée aux enfants à charge.</w:t>
      </w:r>
    </w:p>
    <w:p>
      <w:r>
        <w:rPr>
          <w:b/>
        </w:rPr>
        <w:t>E. 4</w:t>
      </w:r>
    </w:p>
    <w:p>
      <w:r>
        <w:t>Les considérants qui précèdent conduisent au rejet du recours et à la confirmation de la décision attaquée. L'arrêt est rendu sans frais (art. 4 al. 2 du Tarif des frais judiciaires en matière de droit administratif et public du 11 décembre 2007 – TFJAP; RSV 173.36.5.1). Il n'y a pas lieu d'allouer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