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PS.2014.0010 vom 12. März 2014</w:t>
      </w:r>
    </w:p>
    <w:p>
      <w:r>
        <w:t>VD Tribunal cantonal, 2014-03-12, FR</w:t>
      </w:r>
    </w:p>
    <w:p>
      <w:r>
        <w:rPr>
          <w:b/>
        </w:rPr>
        <w:t xml:space="preserve">Quelle: </w:t>
      </w:r>
      <w:r>
        <w:t>https://mcp.opencaselaw.ch/entscheid/vd_omni_PS.2014.0010</w:t>
      </w:r>
    </w:p>
    <w:p>
      <w:r>
        <w:t>FR: VD_OMNI PS.2014.0010 du 12 mars 2014</w:t>
      </w:r>
    </w:p>
    <w:p>
      <w:r>
        <w:t>IT: VD_OMNI PS.2014.0010 del 12 marzo 2014</w:t>
      </w:r>
    </w:p>
    <w:p>
      <w:pPr>
        <w:pStyle w:val="Heading2"/>
      </w:pPr>
      <w:r>
        <w:t>Regeste</w:t>
      </w:r>
    </w:p>
    <w:p>
      <w:r>
        <w:t>X.________ /Département de l'économie et du sport, EVAM, Etablissement vaudois d'accueil des migrants | Requérant d'asile admis à titre provisoire en Suisse. Confirmation du refus de l'EVAM d'attribuer à l'intéressé un logement dans la région lausannoise. Les raisons professionnelles invoquées ne sont pas déterminantes. En l'état, le recourant ne peut en effet se prévaloir d'aucun contrat de travail auprès d'un employeur situé dans la région lausannoise, ni d'une promesse sérieuse de décrocher un emploi auprès d'un tel employeur.</w:t>
      </w:r>
    </w:p>
    <w:p>
      <w:pPr>
        <w:pStyle w:val="Heading2"/>
      </w:pPr>
      <w:r>
        <w:t>Erwägungen</w:t>
      </w:r>
    </w:p>
    <w:p>
      <w:r>
        <w:rPr>
          <w:b/>
        </w:rPr>
        <w:t>E. 1</w:t>
      </w:r>
    </w:p>
    <w:p>
      <w:r>
        <w:t>Interjeté en temps utile (art. 95 de la loi vaudoise du 28 octobre 2008 sur la procédure administrative – LPA-VD; RSV 173.36, applicable par renvoi de l'art. 74 de la loi du 7 mars 2006 sur l'aide aux requérants d'asile et à certaines catégories d'étrangers – LARA, RSV 142.21), le recours satisfait par ailleurs aux autres conditions formelles de recevabilité (art. 79 LPA-VD).</w:t>
      </w:r>
    </w:p>
    <w:p>
      <w:r>
        <w:rPr>
          <w:b/>
        </w:rPr>
        <w:t>E. 2</w:t>
      </w:r>
    </w:p>
    <w:p>
      <w:r>
        <w:t>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w:t>
      </w:r>
    </w:p>
    <w:p>
      <w:r>
        <w:rPr>
          <w:b/>
        </w:rPr>
        <w:t>E. 3</w:t>
      </w:r>
    </w:p>
    <w:p>
      <w:r>
        <w:t>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2 et 4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Les mineurs non accompagnés sont hébergés dans une structure d’hébergement collectif dédiée, en principe jusqu’à leur majorité, sur la base d’un placement décidé par leur représentant légal.</w:t>
      </w:r>
    </w:p>
    <w:p>
      <w:r>
        <w:rPr>
          <w:b/>
        </w:rPr>
        <w:t>E. 5</w:t>
      </w:r>
    </w:p>
    <w:p>
      <w:r>
        <w:t>Les bénéficiaires de l’aide d’urgence sont hébergés dans des structures collectives.</w:t>
      </w:r>
    </w:p>
    <w:p>
      <w:r>
        <w:rPr>
          <w:b/>
        </w:rPr>
        <w:t>E. 6</w:t>
      </w:r>
    </w:p>
    <w:p>
      <w:r>
        <w:t>Dans tous les cas l’établissement peut décider d’autres modalités d’hébergement en fonction de la situation personnelle ou médicale des bénéficiaires. Il peut demander un préavis médical auprès d’un médecin-conseil. Art. 32 Attribution des logements 1 La relation d’hébergement avec les bénéficiaires est de caractère public et ne relève pas du droit du bail. 2 L’établissement peut ordonner le changement du lieu et des modalités d’hébergement. 3 En cas de refus de déménager à la suite d’une décision exécutoire d’attribution de logement, il est fait appel à la force publique pour faire appliquer la décision. 4 Les bénéficiaires n’ont pas la possibilité de visiter au préalable le logement qui leur a été attribué et ne sont en principe pas associés au choix du logement." b)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cf. notamment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c) En l'occurrence, le recourant ne fait plus valoir à l'appui de son recours des motifs de santé, mais uniquement des raisons d'ordre professionnel qui justifieraient qu'on lui attribue un logement dans la région lausannoise. Son intégration professionnelle et sociale serait selon lui facilitée par un déménagement dans les environs de Lausanne. Or, en l'état du dossier, le recourant ne peut se prévaloir d'aucun contrat de travail auprès d'un employeur situé dans la région lausannoise, ni d'une promesse sérieuse de décrocher un emploi auprès d'un tel employeur. Dans les faits, le recourant peut parfaitement chercher un emploi dans la région de Roche et environs (Aigle, Villeneuve). Il peut aussi chercher à se loger par ses propres moyens dans la région lausannoise, auquel cas l'EVAM prendrait à sa charge les frais d'hébergement du recourant dans la limite des barèmes fixés par le Guide d'assistance. Enfin, et dans tous les cas, si le recourant devait finalement trouver un emploi dans la région lausannoise dont les horaires seraient incompatibles avec un maintien de son logement à Roche, sa demande pourrait être reconsidérée, comme l'indique d'ailleurs l'EVAM dans sa réponse au recours. Dans un tel cas, il appartiendra au recourant d'établir preuves à l'appui l'existence d'une promesse d'embauche et non pas, comme il le fait, de se contenter de simples allégations à ce sujet. Ainsi, en l'état du dossier, l'intérêt public de l'EVAM à pouvoir gérer son parc immobilier sur l'ensemble du canton de Vaud de manière rationnelle, efficace et conforme au principe d'économie l'emporte sur l'intérêt privé du recourant à pouvoir déménager dans la région lausannoise, alors qu'il n'y bénéficie d'aucun emploi. Il résulte de ce qui précède que la décision attaquée ne consacre aucun abus ou excès du pouvoir d'appréciation de la part de l'autorité qui l'a rendue. 4. Les considérants qui précèdent conduisent au rejet du recours et à la confirmation de la décision attaquée. L'arrêt sera rendu sans frais (art. 4 al. 2 du tarif des frais judiciaires en matière de droit administratif et public du 11 décembre 2007 – TFJAP; RSV 173.36.5.1). Le recourant n'a pas droit à l'allocation de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