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PS.2014.0006 vom 16. Mai 2014</w:t>
      </w:r>
    </w:p>
    <w:p>
      <w:r>
        <w:t>VD Tribunal cantonal, 2014-05-16, FR</w:t>
      </w:r>
    </w:p>
    <w:p>
      <w:r>
        <w:rPr>
          <w:b/>
        </w:rPr>
        <w:t xml:space="preserve">Quelle: </w:t>
      </w:r>
      <w:r>
        <w:t>https://mcp.opencaselaw.ch/entscheid/vd_omni_PS.2014.0006</w:t>
      </w:r>
    </w:p>
    <w:p>
      <w:r>
        <w:t>FR: VD_OMNI PS.2014.0006 du 16 mai 2014</w:t>
      </w:r>
    </w:p>
    <w:p>
      <w:r>
        <w:t>IT: VD_OMNI PS.2014.0006 del 16 maggio 2014</w:t>
      </w:r>
    </w:p>
    <w:p>
      <w:pPr>
        <w:pStyle w:val="Heading2"/>
      </w:pPr>
      <w:r>
        <w:t>Regeste</w:t>
      </w:r>
    </w:p>
    <w:p>
      <w:r>
        <w:t>X.________ /Service de prévoyance et d'aide sociales, Centre social régional de Morges-Aubonne-Cossonay | C'est à juste titre que l'autorité intimée a considéré que le recourant vivait en concubinage, compte tenu des déclarations faites par l'intéressé et son amie à leurs assistants sociaux respectifs, et qu'il fallait tenir compte de cette circonstance dans le calcul des prestations RI. Recours rejeté.</w:t>
      </w:r>
    </w:p>
    <w:p>
      <w:pPr>
        <w:pStyle w:val="Heading2"/>
      </w:pPr>
      <w:r>
        <w:t>Erwägungen</w:t>
      </w:r>
    </w:p>
    <w:p>
      <w:r>
        <w:rPr>
          <w:b/>
        </w:rPr>
        <w:t>E. 1</w:t>
      </w:r>
    </w:p>
    <w:p>
      <w:r>
        <w:t>Déposé dans le délai de trente jours dès la notification de la décision du SPAS, le recours est intervenu en temps utile ( art. 95 al. 1 de la loi vaudoise du 28 octobre 2008 sur la procédure administrative – LPA-VD; RSV 173.36). Il est au surplus recevable en la forme.</w:t>
      </w:r>
    </w:p>
    <w:p>
      <w:r>
        <w:rPr>
          <w:b/>
        </w:rPr>
        <w:t>E. 2</w:t>
      </w:r>
    </w:p>
    <w:p>
      <w:r>
        <w:t>a) Selon l’art. 1 de la loi du 2 décembre 2003 sur l'action sociale vaudoise (LASV; RSV 850.051), entrée en vigueur le 1 er janvier 2006, dite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d'application du 26 octobre 2005 de la loi sur l'action sociale vaudoise (RLASV; RSV 850.051.1),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au titre du RI (art. 26 al. 1 RLASV). c)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Enfin,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du code civil suisse du 10 décembre 1907 (CC; RS 210), avec un devoir de fidélité et d’assistance réciproque. L'existence d’une union libre stable entraînant des obligations d’entraide comparables à celle d’un mariage n'est toutefois admise qu'avec retenue par la jurisprudence.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déterminer si une communauté de vie assimilable au mariage existe, la jurisprudence retient notamment comme critère décisif, le fait que le concubin dont la situation économique le permet assure effectivement la couverture des besoins vitaux et personnels de son partenaire, outre le fait que les affinités des partenaires sont vécues comme dans le mariage (ATF 134 I 313 consid. 5.5 p. 318-319; 129 I 1 consid. 3.2.3 et 3.2.4 p. 5 ss; voir aussi arrêts PS.2012.0086 du 24 juin 2013, consid. 1; PS.2012.0104 du 1 er mars 2013, consid. 3; PS.2012.0039 du 13 septembre 2012 consid. 1c; PS.2011.0025 du 9 novembre 2011 consid. 2c; PS.2011.0021 du 20 juillet 2011 consid. 1b, et les références citées).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Ces circonstances sont notamment les suivantes: l'existence d'un enfant commun, la durée de la vie commune, étant précisé qu'une union de plus de cinq ans ne suffit pas à elle seule à faire présumer l'existence du concubinage, le partenaire du recourant contribue effectivement à l'entretien de celui-ci, les partenaires se sont aidés financièrement à un moment de leur vie commune, ils sont propriétaires de biens communs, ils passent leurs loisirs et leurs vacances ensemble, ils fréquentent les mêmes amis, ils n'ont jusqu'alors jamais contesté vivre en concubinage, ils ont tenu des propos desquels on pouvait déduire qu'ils vivaient en concubinage (arrêt PS.2001.0132 du 5 juin 2003, consid. 1b).</w:t>
      </w:r>
    </w:p>
    <w:p>
      <w:r>
        <w:rPr>
          <w:b/>
        </w:rPr>
        <w:t>E. 3</w:t>
      </w:r>
    </w:p>
    <w:p>
      <w:r>
        <w:t>a) Le recourant conteste être le concubin de Y.________, si bien que c'est à tort que l'autorité intimée a confirmé la décision du CSR de tenir compte de ce statut dans la détermination des forfaits mensuels qui sont versées à chacun d'eux. Il expose être venu s'établir chez Y.________ en 2008, suite à un grave problème cardiaque qu'il avait alors rencontré. Y.________ le soutient dans ses démarches administratives, en raison d'un déficit de concentration dû à son état de santé et aux médicaments prescrits par son cardiologue. Le bail est au seul nom de Y.________. Son assistante sociale chercherait un appartement ailleurs. Le recourant admet enfin la communauté de table avec Y.________, mais conteste celle de lit. b) En l'occurrence, le recourant et Y.________ émargent tous deux à l'aide sociale, intégralement. Il n'est pas contesté qu'ils vivent depuis 2008 sous le même toit, dans un appartement dont le bail est au nom de Y.________, et qu'ils partagent leurs repas, du moins ceux du soir. Les autorités intimée et concernée ne paraissent pas non plus contester le fait que le recourant et Y.________ ne partagent actuellement pas le même lit. Seules, ces circonstances ne permettent pas encore de retenir que le recourant et Y.________ vivent en concubinage. Cela étant, d'autres indices conduisent à retenir l'existence d'une telle relation. Ainsi, l'examen des déclarations faites à leurs assistants sociaux respectifs permet de conclure à un degré de vraisemblance suffisant à l'existence d'une communauté de type conjugal. Il résulte ainsi des journaux du recourant et de Y.________ que chacun parle de l'autre en mentionnant " mon ami " ou " ma compagne ". En indiquant le 31 janvier 2011 que sa situation financière était difficile au motif que son ami était un vrai panier percé, Y.________ confirmait l'existence d'une communauté économique entre eux, soit que la gestion du budget était commune. Dans le même sens, le fait que Y.________ s'occupe aussi des achats communs en veillant " à l'équilibre alimentaire de chacun " et soutient le recourant dans ses démarches administratives dénote également une volonté d'assistance mutuelle. Par ailleurs, dans son courrier du 18 février 2013, Y.________ admettait implicitement former un couple, puisqu'elle y expliquait avoir choisi de faire chambre séparée pour des raisons de confort, ayant besoin d'un " sommeil réparateur ". L'existence de cette relation est confirmée par des déclarations encore plus anciennes de Y.________, qui avait expliqué le 21 mai 2008 déjà que sa relation avec le recourant était devenue " plus qu'amicale ". Il sied encore de préciser que ces explications ont été données par les intéressés à une époque où il n'était pas encore question de revoir le calcul des aides financières qui leur étaient octroyées. Elles n'en sont que plus crédibles. On ajoutera encore qu'il ne sera pas tenu compte de la prétendue recherche de nouveau logement qu'aurait entreprise le recourant; ce fait est nullement établi et, surtout, remontant selon Y.________ à janvier 2014, il est tout récent, ce qui laisse supposer que ce moyen est en réalité allégué pour les besoins de la procédure. Le cas échéant, si une séparation du couple devait survenir, il serait dans tous les cas procédé à un nouveau calcul des forfaits accordés. L'ensemble des éléments qui précèdent permet de retenir que le recourant et Y.________ vivent maintenant depuis six ans sous le même toit dans le cadre d'une relation très étroite. C'est dans ces conditions à juste titre que l'autorité intimée a considéré qu'ils vivaient en concubinage, ce qui devait conduire à revoir le calcul des prestations d'aide financière versées à chacun d'eux. Pour le surplus, le recourant ne remet pas en question les montants retenus dans le cadre du nouveau calcul de l'aide qui lui est dévolue.</w:t>
      </w:r>
    </w:p>
    <w:p>
      <w:r>
        <w:rPr>
          <w:b/>
        </w:rPr>
        <w:t>E. 4</w:t>
      </w:r>
    </w:p>
    <w:p>
      <w:r>
        <w:t>Les écritures du recourant, dont on doit relever qu'elles sont peu claires et parfois confuses, paraissent contenir des conclusions diverses qui sont exorbitantes de l'objet du litige, seule la question de l'indemnité RI qui lui est versée étant litigieuse. Partant, ces " conclusions " sont irrecevables devant l'autorité de céans.</w:t>
      </w:r>
    </w:p>
    <w:p>
      <w:r>
        <w:rPr>
          <w:b/>
        </w:rPr>
        <w:t>E. 5</w:t>
      </w:r>
    </w:p>
    <w:p>
      <w:r>
        <w:t>En définitive, le recours doit être rejeté dans la mesure où il est recevable et la décision attaquée, confirmée. L'arrêt est rendu sans frais (art. 4 al. 2 du Tarif du 11 décembre 2007 des frais judiciaires en matière de droit administratif et public – TFJAP; RSV 173.36.5.1).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