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PS.2014.0004 vom 4. September 2014</w:t>
      </w:r>
    </w:p>
    <w:p>
      <w:r>
        <w:t>VD Tribunal cantonal, 2014-09-04, FR</w:t>
      </w:r>
    </w:p>
    <w:p>
      <w:r>
        <w:rPr>
          <w:b/>
        </w:rPr>
        <w:t xml:space="preserve">Quelle: </w:t>
      </w:r>
      <w:r>
        <w:t>https://mcp.opencaselaw.ch/entscheid/vd_omni_PS.2014.0004</w:t>
      </w:r>
    </w:p>
    <w:p>
      <w:r>
        <w:t>FR: VD_OMNI PS.2014.0004 du 4 septembre 2014</w:t>
      </w:r>
    </w:p>
    <w:p>
      <w:r>
        <w:t>IT: VD_OMNI PS.2014.0004 del 4 settembre 2014</w:t>
      </w:r>
    </w:p>
    <w:p>
      <w:pPr>
        <w:pStyle w:val="Heading2"/>
      </w:pPr>
      <w:r>
        <w:t>Regeste</w:t>
      </w:r>
    </w:p>
    <w:p>
      <w:r>
        <w:t>X.________ /Instance juridique chômage Service de l'emploi, Office régional de placement d'Yverdon-les-Bains, Centre social régional JURA-NORD VAUDOIS | Bénéficiaire du RI sanctionné d'une réduction de 25% pendant 4 mois de son forfait d'entretien pour avoir abandonné une mesure d'insertion professionnelle sans excuse valable. Recours admis car le choix de la stratégie et de la mesure proposée étaient inadaptés au profil du recourant. Ce dernier, même s'il parle bien le français, est incapable d'une quelconque production à l'écrit; il n'est de surcroît au bénéfice d'aucune formation professionnelle. Il n'était donc pas à même de pouvoir suivre une formation intensive et prolongée, axée sur les techniques de recherche d'emploi, qui se déroulait en salle de cours avec un équipement bureautique développé. Il a par ailleurs rapidement informé son conseiller ORP que la mesure proposée ne lui convenait pas. Le fait que le recourant ait refusé de signer le protocole de formation, alors même qu'il aurait pu le comprendre en se le faisant lire par son épouse, est un incident insignifiant et impropre à fonder une sanction.</w:t>
      </w:r>
    </w:p>
    <w:p>
      <w:pPr>
        <w:pStyle w:val="Heading2"/>
      </w:pPr>
      <w:r>
        <w:t>Erwägungen</w:t>
      </w:r>
    </w:p>
    <w:p>
      <w:r>
        <w:rPr>
          <w:b/>
        </w:rPr>
        <w:t>E. 1</w:t>
      </w:r>
    </w:p>
    <w:p>
      <w:r>
        <w:t>X.________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de sorte qu’il y a lieu d'entrer en matière sur le fond.</w:t>
      </w:r>
    </w:p>
    <w:p>
      <w:r>
        <w:rPr>
          <w:b/>
        </w:rPr>
        <w:t>E. 2</w:t>
      </w:r>
    </w:p>
    <w:p>
      <w:r>
        <w:t>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b) En l’espèce, on ne voit pas en quoi les mesures d'instruction requises seraient de nature à apporter des éléments décisifs pour l'issue du litige. Le recourant a en effet déjà pu produire toute pièce utile permettant de prouver ses allégations. Il n'y a ainsi pas lieu de donner suite aux réquisitions de preuve du recourant, la cour s'estimant suffisamment renseignée sur la base des pièces figurant au dossier.</w:t>
      </w:r>
    </w:p>
    <w:p>
      <w:r>
        <w:rPr>
          <w:b/>
        </w:rPr>
        <w:t>E. 3</w:t>
      </w:r>
    </w:p>
    <w:p>
      <w:r>
        <w:t>Le recourant fait valoir que l'absence de motivation de la décision attaquée devrait entraîner son annulation. a) Le droit d'être entendu garanti par l'art. 29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En l’espèce, force est de constater que la décision de l’autorité intimée est suffisamment motivée, dans la mesure où elle permet de comprendre quels sont les motifs qui l’ont amenée à sanctionner le recourant. Elle a en outre précisé sa décision dans sa réponse du 21 février 2014. Le recourant a donc pu faire valoir ses arguments en connaissance de cause dans ses déterminations du 26 mars 2014. Le Tribunal de céans disposant d'une pleine cognition en fait et en droit, l’éventuelle violation du droit d'être entendu du recourant a donc été réparée. Le grief tiré de ce fait doit ainsi être écarté.</w:t>
      </w:r>
    </w:p>
    <w:p>
      <w:r>
        <w:rPr>
          <w:b/>
        </w:rPr>
        <w:t>E. 4</w:t>
      </w:r>
    </w:p>
    <w:p>
      <w:r>
        <w:t>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loi du 5 juillet 2005 sur l’emploi (LEmp; RSV 822.11) ne prévoyant aucune disposition étendant le pouvoir de contrôle de l'autorité de recours à l'inopportunité en matière de mesures cantonales d'insertion professionnelle, ce motif ne saurait être examiné par le tribunal. Une autorité abuse de son pouvoir d'appréciation lorsque, exerçant les compétences dévolues par la loi, elle se laisse guider par des considérations non pertinentes ou étrangères au but des dispositions applicables , ou statue en violation des principes généraux du droit administratif que sont l'interdiction de l'arbitraire, l'égalité de traitement, la bonne foi et la proportionnalité (ATF 116 V 307 consid. 2 p. 310 et les arrêts cités ).</w:t>
      </w:r>
    </w:p>
    <w:p>
      <w:r>
        <w:rPr>
          <w:b/>
        </w:rPr>
        <w:t>E. 5</w:t>
      </w:r>
    </w:p>
    <w:p>
      <w:r>
        <w:t>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24 LEmp, les mesures cantonales d'insertion professionnelle visent à améliorer l'aptitude au placement des demandeurs d'emploi et à favoriser le retour en emploi par des activités qualifiantes servant la concrétisation d'un projet professionnel réaliste. L'art. 23a al. 2 LEmp précise qu'elles sont octroyées selon les mêmes critères que les mesures du marché du travail prévues par la LACI. On peut dès lors se référer à cette loi et à la jurisprudence la concernant pour déterminer quels sont les motifs qui peuvent justifier l’abandon d’une mesure d’insertion professionnelle (arrêts PS.2011.0027 du 3 octobre 2011 et PS.2010.0062 du 25 février 2011). Les mesures cantonales d’insertion professionnelles sont notamment décrites en ces termes : " Art. 26    Mesures cantonales d'insertion professionnelle Sont considérées comme mesures cantonales d'insertion professionnelle : a. les stages professionnels cantonaux; b. les allocations cantonales d'initiation au travail; c. les prestations cantonales de formation; d. le soutien à la prise d'activité indépendante; e. les allocations cantonales à l'engagement; f. les emplois d'insertion . 2 Le Conseil d'Etat peut mettre sur pied, sous forme d'expérience pilote, d'autres mesures propres à favoriser l'insertion professionnelle des demandeurs d'emploi. (…) Art. 30    Prestations cantonales de formation 1 Les prestations cantonales de formation comprennent : a. des cours dispensés par des instituts agréés par le Service; b. des stages dans les entreprises d'entraînement du canton; c. des mesures visant la clarification des aptitudes professionnelles. 2 Les prestations cantonales de formation incluent la prise en charge des frais indispensables liés à l'écolage et le matériel de cours. Les frais sont remboursés directement à l'institut. " Aucune disposition légale ni réglementaire ne donne à l’assuré le droit de choisir librement la mesure d’insertion professionnelle qu’il préfère (PS.2009.0052 du 16 février 2010).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références cité dans PS.2007. 0189 du 26 juin 2008). b) En l’occurrence, il est reproché au recourant d’avoir abandonné, le 9 août 2013, sans excuse valable, une mesure d’insertion professionnelle, organisée du 5 août 2013 au 31 janvier 2014. Pour se justifier, le recourant soutient qu’il n'a pas refusé de suivre la mesure d'insertion proposée ni abandonné celle-ci, il expose que c’est l’organisateur qui l’a renvoyé car il a refusé de signer un document qu’il ne comprenait pas. Tout d’abord, force est de constater que même si le recourant parle bien le français, tel que cela ressort du test linguistique qui lui a été assigné le 16 janvier 2012, il est en revanche incapable d’une quelconque production à l’écrit, toutes les bases sont en effet à revoir malgré le fait qu’il connaît l’alphabet. Le recourant n’a depuis bénéficié d’aucun cours de perfectionnement dans ce domaine. Il apparaît ensuite que le recourant a informé rapidement, par lettre du 8 août 2013, son conseiller ORP que la mesure d’insertion professionnelle proposée ne lui convenait pas, raison pour laquelle il lui a demandé d’avancer leur rendez-vous. Il ressort par ailleurs du protocole, soit le document que le recourant a refusé de signer, que la mesure proposée avait pour but un programme intensif (à plein temps) et prolongé (six mois) de formation, laquelle était axée sur les techniques de recherche d’emploi. Il était prévu que cette formation se déroulerait en salle de cours et qu’un équipement bureautique développé serait mis à disposition des participants. Il convient donc d’admettre que le choix de la stratégie et de la mesure étaient à l’évidence inadaptés au profil du recourant. En effet, il est difficilement concevable qu’un individu qui n’est au bénéfice d’aucune formation professionnelle, qui a en outre de grandes lacunes en matière de compréhension écrite de la langue française, et gérant de surcroît avec difficultés les contraintes sociales et administratives, soit placé dans un programme purement scolaire et intellectuel. Par conséquent, le choix erroné de la mesure de réinsertion est entièrement imputable à l’ORP, qui a de ce fait contribué à l’échec de celle-ci en encourageant de surcroît le recourant à persévérer. Dans ces conditions, le fait que le recourant ait refusé de signer le protocole, alors même qu’il lui eut été possible de le comprendre en se le faisant lire par son épouse, est un incident insignifiant et impropre à fonder une sanction.</w:t>
      </w:r>
    </w:p>
    <w:p>
      <w:r>
        <w:rPr>
          <w:b/>
        </w:rPr>
        <w:t>E. 6</w:t>
      </w:r>
    </w:p>
    <w:p>
      <w:r>
        <w:t>Les considérants qui précèdent conduisent à l’admission du recours et à l’annulation de la décision attaquée. La présente procédure est gratuite (art. 4 al. 2 du Tarif du 11 décembre 2007 des frais judiciaires en matière de droit administratif et public [TFJAP; RSV 173.36.5.1]). Vu l'issue du litige, il se justifie que les dépens, arrêtés à 968.60 fr., soient mis à la charge de l'Etat (art. 55, 91 et 99 LPA-VD). Vu cette allocation de dépens, il n’y a pas lieu de fixer l’indemnité au conseil juridique commis d’office (art. 122 al. 2 du code de procédure civile suisse du 19 décembre 2008 [CPC; RS 272] a contrario , applicable par renvoi de l’art. 18 al. 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