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PS.2013.0078 vom 30. November 2022</w:t>
      </w:r>
    </w:p>
    <w:p>
      <w:r>
        <w:t>VD Tribunal cantonal, 2022-11-30, FR</w:t>
      </w:r>
    </w:p>
    <w:p>
      <w:r>
        <w:rPr>
          <w:b/>
        </w:rPr>
        <w:t xml:space="preserve">Quelle: </w:t>
      </w:r>
      <w:r>
        <w:t>https://mcp.opencaselaw.ch/entscheid/vd_omni_PS.2013.0078</w:t>
      </w:r>
    </w:p>
    <w:p>
      <w:r>
        <w:t>FR: VD_OMNI PS.2013.0078 du 30 novembre 2022</w:t>
      </w:r>
    </w:p>
    <w:p>
      <w:r>
        <w:t>IT: VD_OMNI PS.2013.0078 del 30 novembre 2022</w:t>
      </w:r>
    </w:p>
    <w:p>
      <w:pPr>
        <w:pStyle w:val="Heading2"/>
      </w:pPr>
      <w:r>
        <w:t>Regeste</w:t>
      </w:r>
    </w:p>
    <w:p>
      <w:r>
        <w:t>A.________ /Direction générale de la cohésion sociale (DGCS), Centre social régional de l'Est lausannois-Oron-Lavaux | Recours d'une bénéficiaire du RI contre la décision ordonnant la restitution de l'intégralité des montants perçus par celle-ci pendant la période du 1er janvier 2011 au 31 juillet 2013, soit de 63'918 fr. 45. Jugement pénal, confirmé par un arrêt de la CAPE, libérant la recourante de tout chef d'accusation en lien avec les faits de la cause, mais constatant la perception inexpliquée d'un montant total de 4'227 fr. 90 qui aurait dû être annoncé au CSR. Pas de motifs suffisants de s'écarter des faits retenus par l'autorité pénale. Contrairement à ce qu'a retenu l'autorité intimée, l'indigence de la recourante peut être considérée comme globalement démontrée. Seuls les 4'227 fr. 90, dont l'origine n'a pas pu être déterminée par l'instruction des causes pénale et administrative, ni démontrée par la recourante, doivent être restitués à titre de prestations du RI indûment perçues. La recourante, qui informait chaque mois le CSR du montant de ses revenus et qui a fait preuve d'un manque "ehonté" de transparence, ne peut se prévaloir de sa bonne foi. Recours partiellement admis.</w:t>
      </w:r>
    </w:p>
    <w:p>
      <w:pPr>
        <w:pStyle w:val="Heading2"/>
      </w:pPr>
      <w:r>
        <w:t>Erwägungen</w:t>
      </w:r>
    </w:p>
    <w:p>
      <w:r>
        <w:rPr>
          <w:b/>
        </w:rPr>
        <w:t>E. 1</w:t>
      </w:r>
    </w:p>
    <w:p>
      <w:r>
        <w:t>Interjeté dans le délai de trente jours prévu par l'art. 95 de la loi vaudoise du 28 octobre 2008 sur la procédure administrative (LPA-VD; BLV 173.36), reporté conformément à l'art. 19 al. 2 LPA-VD, le recours a été déposé en temps utile. Il respecte au surplus les conditions formelles énoncées notamment à l'art. 79 LPA-VD (applicable par renvoi de l'art. 99 LPA-VD), si bien qu'il y a lieu d'entrer en matière sur le fond.</w:t>
      </w:r>
    </w:p>
    <w:p>
      <w:r>
        <w:rPr>
          <w:b/>
        </w:rPr>
        <w:t>E. 2</w:t>
      </w:r>
    </w:p>
    <w:p>
      <w:r>
        <w:t>La décision entreprise confirme la suppression du RI et condamne la recourante au remboursement de l'intégralité des sommes perçues indûment à ce titre entre le 1 er janvier 2011 et le 31 juillet 2013, à hauteur de 63'918 fr. 45. La recourante ne conteste pas la suppression du RI mais demande la réforme de la décision entreprise en ce sens qu'elle ne doit rien à l'autorité intimée à titre de restitution du RI indûment perçu. Elle se fonde notamment sur le jugement pénal rendu par la CAPE le 9 septembre 2022 qui la libère de tout chef d'accusation en lien avec les faits de la présente cause. a) S'agissant de la coordination entre procédure administrative et procédure pénale, il y a lieu de rappeler que, s'il est vrai que le juge administratif est libre de forger sa propre conviction, il convient néanmoins d'éviter que des décisions contradictoires ne soient rendues sur la base des mêmes faits (CDAP PS.2018.0100 du 3 juin 2020 consid. 2b; Tanquerel, Manuel de droit administratif, 2 ème édition, 2018, n. 628 ss, p. 228 ss). La jurisprudence prescrit ainsi à l'autorité administrative de ne pas s'écarter sans raisons sérieuses des faits établis au pénal, en particulier lorsque l'enquête pénale a donné lieu à des investigations approfondies et lorsque le juge a entendu directement les parties et les témoins (ATF 139 II 95 consid. 3.2; 137 I 363 consid. 2.3.2; 136 II 447 consid. 3.1 et les arrêts cités). L’autorité administrative ne peut ainsi s’écarter du jugement pénal que si elle est en mesure de fonder sa décision sur des constations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 consid. 3.2; 137 I 363 consid. 2.3.2; 136 II 447 consid. 3.1; 129 II 312 consid. 2.4; PS.2021.0074 du 2 mai 2022 consid. 4c; PS.2018.0100 du 3 juin 2020 consid. 2b; PE.2014.0249 du 11 novembre 2015 consid. 4b). Si les faits retenus au pénal lient en principe l'autorité et le juge administratifs, il en va toutefois différemment des questions de droit, l'autorité administrative n'étant pas liée par l'appréciation juridique des faits (cf. TF 1C_588/2020 du 25 novembre 2021 consid. 3.3; 1C_252/2016 du 15 novembre 2016 consid. 4.4). Les principes jurisprudentiels précités, développés à l'origine en matière de circulation routière, s’appliquent également à d'autres domaines du droit administratif, y compris à celui des prestations d'assistance sociale (PS.2021.0074 du 2 mai 2022 consid. 4c; PS 2018.0100 du 3 juin 2020 consid. 2b). b) En l'espèce, le tribunal ne conçoit pas de motifs suffisants lui permettant de s'écarter des faits retenus par le Tribunal correctionnel dans son jugement du 4 février 2022, en ce qu'ils ont été établis après une enquête approfondie de plusieurs années et, de surcroît, en ce que la recourante les a intégralement admis lors de l'audience d'appel pénale du 8 septembre 2022. c) Le tribunal se fondera dès lors principalement sur les faits retenus par l'autorité pénale, tels que reproduits ci-dessus et complétés par l'instruction de la présente cause pour les éléments de faits pertinents sur le plan administratif. Quant à l'appréciation juridique de ceux-ci, le tribunal n'est pas lié, de sorte que la libération de la recourante de tout chef d'accusation au pénal en lien avec les faits objets de la présente cause ne conduit pas automatiquement à retenir une absence de prestations indues.</w:t>
      </w:r>
    </w:p>
    <w:p>
      <w:r>
        <w:rPr>
          <w:b/>
        </w:rPr>
        <w:t>E. 3</w:t>
      </w:r>
    </w:p>
    <w:p>
      <w:r>
        <w:t>La recourante se plaint d'une violation des art. 38 et 41 LASV. Elle aurait selon elle systématiquement collaboré à l'établissement de son indigence, qui serait avérée. Elle aurait en particulier fourni des explications précises en lien avec les rentrées d'argent sur son compte bancaire UBS, qui correspondraient à des remboursements de frais avancés à ses amies. S'agissant des débits à l'étranger et de l'utilisation de sa carte de crédit, elle souligne que les montants en jeu sont relativement faibles et que l'aide ponctuelle de son ex-compagnon, qui n'avait aucun caractère régulier, ne devait pas être mentionnée auprès du CSR. Quant à la voiture automobile Fiat Punto, celle-ci appartiendrait en réalité à son frère et n'aurait aujourd'hui plus aucune valeur. a) aa) A teneur de son art. 1,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L'art. 3 LASV rappelle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Le RI comprend une prestation financière et peut, cas échéant, également comprendre des prestations sous forme de mesures d'insertion sociale ou professionnelle (art. 27 al. 1 LASV). Selon l'art. 31 LASV, la prestation financière est composée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de ses enfants mineurs à charge (al. 2). L'art. 26 al. 2 du règlement d'application de la LASV du 26 octobre 2005 (RLASV; RSV 850.051.1) prévoit une liste de ce que comprennent " notamment " les ressources du requérant portées en déduction du montant alloué au titre du RI, tels que les revenus nets provenant d'une activité professionnelle du requérant (let. a). L'art. 27 al. 1 RLASV tel qu'en vigueur le 1 er janvier 2011 précise que ne font pas partie des ressources soumises à déduction, entre autres, les prestations ponctuelles provenant de personnes et d'institutions privées ayant manifestement le caractère d'assistance (let. c). Cet article a été modifié au 1 er janvier 2012 pour y inclure les dons des proches et ainsi que les gains de loterie jusqu'à concurrence d'un montant de 1'200 fr. par année civile puis, dès le 1 er janvier 2017, les prêts. Avant cela, les prêts étaient considérés par la jurisprudence comme entrant dans le champ d'application de l'art. 26 al. 2 RLASV, c'est-à-dire qu'ils devaient venir en déduction des prestations du RI, en ce que cette disposition n'était pas exhaustive et compte tenu du caractère subsidiaire de l'aide sociale (cf. par exemple PS.2014.0027 du 20 juin 2014 consid. 1b; PS.2013.0058 du 26 août 2014 consid. 3b; PS.2011.0069 du 11 septembre 2012 consid. 4a/cc). bb)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versement d'un capital ou d'une indemnité de quelque nature que ce soit (art. 29 al. 2 let. g RLASV). Ces bases légales posent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(cf. art. 30 al. 2 LPA-VD; PS.2020.0038 du 6 octobre 2021 consid. 2a; PS.2014.0017 du 10 septembre 2014 consid. 1a ; PS.2007.0006 et les références citées). Conformément au principe de proportionnalité, le devoir de collaborer ne peut être soumis à des exigences trop grandes. C'est pourquoi on ne peut exiger des intéressés qu'ils fournissent des documents qu'ils n'ont pas ou qu'ils ne peuvent se procurer sans complication notable (TF 8C_702/2015 du 15 juin 2016 consid. 6.2.1; 8C_50/2015 du 17 juin 2015 consid. 3.2.1; PS 2020.0050 du 8 juin 2021 consid. 2c ; PS.2020.0012 du 4 décembre 2020 consid. 2b).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PS.2020.0050 du 8 juin 2021 consid. 2c; PS. 2020.0090 du 14 mai 2021 consid. 3a/cc). cc) Enfin l'art. 41 LASV prévoit que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(PS.2021.0074 du 2 mai 2022 consid. 4d; PS.2019.0057 du 23 janvier 2020 consid. 3) b) La décision attaquée, qui a réformé la décision de l'autorité inférieure au détriment de la recourante, réclame à cette dernière le remboursement de la totalité des prestations perçues au titre du RI depuis le 1 er janvier 2011 jusqu'au mois d'août 2013. En substance, la décision attaquée retient qu'au vu de ses nombreux voyages à l'étranger et de certaines de ses dépenses, la recourante mènerait un train de vie incompatible avec celui d'une personne au bénéfice du revenu d'insertion et qu'elle bénéficierait " manifestement " d'autres soutiens. Ce raisonnement ne peut être suivi sans réserve. En effet, d'une manière générale, il n'est pas établi que la recourante aurait bénéficié de revenus non déclarés pour financer son train de vie et ses dépenses. Il en va notamment ainsi de l'utilisation des cartes de crédit VISA, des dépenses pour les billets d'avion, des séjours à l'étranger, ou encore de l'utilisation du véhicule automobile. Il n'y a pas de motif de s'écarter sur ce point des faits retenus par le jugement du Tribunal correctionnel du 4 février 2022 qui ont conduit cette autorité à libérer la recourante de tout chef d'accusation. Ainsi, l'indigence de la recourante doit être considérée comme démontrée de manière générale. En revanche, la recourante ne conteste pas avoir perçu des versements sur son compte bancaire UBS entre les mois d'avril 2011 et de décembre 2012 pour un total de 4'227 fr. 90, ni n'avoir pas déclaré ces versements au CSR. A cet égard, le Tribunal correctionnel a considéré que ces crédits étaient établis et qu'ils auraient indéniablement dû être annoncés à l'autorité compétente en matière de RI. Interrogée quant à l'origine de ces sommes au cours de l'enquête diligentée à l'initiative du CSR, la recourante a commencé par indiquer ne pas connaître leur provenance. Elle a ensuite indiqué qu'il s'agissait de versements qu'elle se serait faits à elle-même à la suite de retraits de cash trop importants, afin d'éviter de dépenser cet argent. Enfin, au cours de la présente procédure de recours, elle a prétendu qu'il s'agissait en réalité de montants reçus en remboursement par ses amies, à qui elle avait préalablement prêté de l'argent, ou de la part d'une tante, pour qui elle avait effectué un changement en euros. Outre ses déclarations, contradictoires et fluctuantes, la recourante ne produit aucun document attestant d'éventuels prêts accordés à ses amies qui corroboreraient sa version. Il n'est ainsi pas démontré que celles-ci, qui n'émargeaient pas à l'aide sociale pendant la période litigieuse, aient bénéficié de prêts, ce que la recourante aurait pu démontrer en produisant des extraits de cartes de crédit de mêmes montants par exemple, en les explicitant. Les simples déclarations de ses amies, postérieures et contradictoires aux premières explications de la recourante, selon lesquelles elles empruntaient parfois la carte de crédit de la recourante, sont vagues et peu crédibles, partant insuffisantes. Il en va de même du prétendu crédit venant de la tante de la recourante, non démontré. Les dernières allégations de la recourante ne sauraient ainsi être suivies et ne suffisent pas à justifier la perception de ces montants. L'examen de ses comptes bancaires, desquels il ressort des retraits constants de cash mais sans lien apparent avec les sommes perçues, ne permet pas non plus de retenir la précédente version des faits de la recourante selon laquelle elle se recréditait elle-même de l'argent retiré afin d'éviter de le dépenser. Ainsi, ni l'enquête pénale, ni l'instruction de la présente cause, n'ont permis d'expliquer les rentrées d'argent de la recourante pour un total de 4'227 fr. 90; elles ont toutefois permis de démontrer que la recourante a entretenu un flou certain sur sa situation financière et ses flux d'argent, et qu'elle a caché des comptes au CSR. La recourante ne démontre pas non plus que ces montants entreraient dans le champ d'application de l'art. 27 al. 1 let. b RLASV, à titre de prestations ponctuelles ayant le caractère d'assistance ou de dons, ce qu'elle n'invoque d'ailleurs pas. Vu les principes applicables en matière de preuve, elle échoue ainsi à démontrer que ces versements ne devaient pas venir en déduction des prestations perçues (art. 8 CC). Aussi la somme de 4'227 fr. 90 doit-elle être considérée comme une ressource déductible du montant alloué au titre de RI au sens de l'art. 26 RLASV et en vertu du principe général de subsidiarité du RI (art. 3 LASV). En ce qu'elle pouvait entraîner la réduction ou la suppression du RI, la recourante aurait dû la déclarer (art. 38 al. 4 LASV). Le remboursement du montant de 4'227 fr. 90, qui résultait déjà de la décision de l'autorité inférieure, doit donc être confirmé. c) En définitive, on retiendra comme l'avait fait la décision de l'autorité inférieure que la recourante a touché des prestations indues du CSR uniquement en lien avec le montant de 4'227 fr. 90. En application de l'art. 41 al. 1 let. a LASV, elle est ainsi tenue au remboursement de cette somme. d) Dans la mesure où la recourante devait chaque mois remplir un formulaire et préciser l'étendue des revenus qu'elle percevait, y compris les versements de tierces personnes, on ne peut considérer que celle-ci était de bonne foi au sens de l'art. 41 al. 1 let. a LASV. On rappelle au demeurant la teneur du jugement pénal du 4 février 2022 selon lequel la recourante n'a manifestement pas annoncé tout ce qu'elle devait aux services sociaux et a fait preuve d'un manque " éhonté " de transparence, comportement incompatible avec la notion de bonne foi. Il n'y a donc pas lieu d'examiner si le remboursement de la somme de 4'227 fr. 90 mettrait la recourante dans une situation difficile, puisque la première des conditions cumulatives de l'art. 41 al. 1 let. a LASV fait déjà défaut. A cet égard, on relève toutefois que les revenus nets de la recourante tels qu'établis par jugement du 4 février 2022, soit d'environ 5'400 fr. nets par mois, devraient largement lui permettre de rembourser les 4'229 fr. 90 perçus indûment, cas échéant après établissement d'un plan de paiement. Compte tenu de ce qui précède, la décision entreprise doit être réformée en ce sens que la recourante doit rembourser le montant de 4'227 fr. 90 à titre de prestations du revenu d'insertion perçues indûment.</w:t>
      </w:r>
    </w:p>
    <w:p>
      <w:r>
        <w:rPr>
          <w:b/>
        </w:rPr>
        <w:t>E. 4</w:t>
      </w:r>
    </w:p>
    <w:p>
      <w:r>
        <w:t>a) La procédure étant gratuite, il n'est pas perçu de frais judiciaires (art. 4 al. 3 du tarif vaudois du 28 avril 2015 des frais judiciaires et des dépens en matière administrative [TFJDA; BLV 173.36.5.1]). b) La recourante, qui obtient partiellement gain de cause avec le concours d'un mandataire professionnel, a droit à une indemnité à titre de dépens réduits (cf. art. 55 al. 1 et 56 al. 2 LPA-VD), dont il convient d'arrêter le montant à 2'000 fr., à la charge de l'autorité intimée (art. 55 al. 2 LPA-VD). Ce montant viendra en déduction de l'indemnité de conseil d'office fixée ci-dessous. c) Le conseil juridique commis d'office a droit au remboursement de ses débours et à un défraiement équitable, qui est fixé en considération de l'importance de la cause, de ses difficultés, de l'ampleur du travail et du temps consacré. A cet égard, le juge apprécie l'étendue des opérations nécessaires pour la conduite du procès. Il applique un tarif horaire de 180 fr. pour un avocat (art. 2 al. 1 du règlement vaudois du 7 décembre 2010 sur l'assistance judiciaire en matière civile – RAJ; RSV 211.02.3 – applicable par renvoi de l'art. 18 al. 5 LPA-VD). Pour la période du 18 septembre 2013 au 16 novembre 2017, le montant demandé à titre d'honoraires par le conseil d'office par 5'364 fr. paraît approprié aux nécessités du cas. A ce montant s'ajoute celui des débours par 268 fr. 20, des frais de déplacement par 120 fr., ainsi que la TVA à 8%, sur le tout, par 460 fr. 18, soit au total 6'212 fr. 38. Pour la période du 30 janvier 2018 au 3 octobre 2022, le montant demandé par le mandataire d'office par 1'890 fr. paraît approprié aux nécessités du cas. A ce montant s'ajoute celui des débours par 95 fr. 50 et la TVA à 7.7%, sur le tout, par 152 fr. 81, soit au total 2'137 fr. 31. L'indemnité allouée au conseil d'office s'élève ainsi à 8'349 fr. 70, dont à déduire le montant de 2'000 fr. alloué à titre de dépens partiels. L'indemnité est supportée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