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PS.2013.0068 vom 28. Oktober 2013</w:t>
      </w:r>
    </w:p>
    <w:p>
      <w:r>
        <w:t>VD Tribunal cantonal, 2013-10-28, FR</w:t>
      </w:r>
    </w:p>
    <w:p>
      <w:r>
        <w:rPr>
          <w:b/>
        </w:rPr>
        <w:t xml:space="preserve">Quelle: </w:t>
      </w:r>
      <w:r>
        <w:t>https://mcp.opencaselaw.ch/entscheid/vd_omni_PS.2013.0068</w:t>
      </w:r>
    </w:p>
    <w:p>
      <w:r>
        <w:t>FR: VD_OMNI PS.2013.0068 du 28 octobre 2013</w:t>
      </w:r>
    </w:p>
    <w:p>
      <w:r>
        <w:t>IT: VD_OMNI PS.2013.0068 del 28 ottobre 2013</w:t>
      </w:r>
    </w:p>
    <w:p>
      <w:pPr>
        <w:pStyle w:val="Heading2"/>
      </w:pPr>
      <w:r>
        <w:t>Regeste</w:t>
      </w:r>
    </w:p>
    <w:p>
      <w:r>
        <w:t>X.________ /Service de prévoyance et d'aide sociales, Centre social régional de Lausanne | Refus de la recourante, bénéficiaire de l'aide sociale, de signer un document autorisant le CSR à se renseigner auprès de diverses personnes détenant des informations relatives à sa situation financière. Après avertissement, décision de sanction émise par le CSR, consistant en une réduction du forfait d'entretien de 15 % durant douze mois, puis décision mettant fin au RI, objet du présent recours. Le bénéficiaire de l'aide sociale a l'obligation d'informer l'autorité, de manière complète et détaillée, de l'évolution de sa situation financière, sans pouvoir se référer à la protection de sa sphère privée pour s'y opposer. La demande du CSR de pouvoir consulter des extraits de comptes complets est en outre conforme au principe de proportionnalité. En refusant de renseigner, la recourante a empêché l'autorité d'avoir une idée claire de son revenu et de sa fortune. C'est ainsi à juste titre que le CSR a prononcé la décision attaquée à son encontre, sachant que la recourante a en tout temps la possibilité de déposer une nouvelle demande de RI en attestant de son indigence. Le recours déposé au Tribunal fédéral a été déclaré irrecevable, faute de versement de l'avance de frais (arrêt 8C_845/2013 du 26 mai 2014).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recourante a pris une conclusion qui concerne la décision du 24 mai 2013, relative à une sanction pour refus de signer une procuration, qui fait déjà l’objet d’une procédure distincte devant la cour de céans (PS.2013.0054). Cette conclusion ne sera ainsi pas examinée dans le cadre du présent recours.</w:t>
      </w:r>
    </w:p>
    <w:p>
      <w:r>
        <w:rPr>
          <w:b/>
        </w:rPr>
        <w:t>E. 3</w:t>
      </w:r>
    </w:p>
    <w:p>
      <w:r>
        <w:t>Selon l’art. 24 al. 1 LPA-VD, l'autorité peut, d'office ou sur requête, joindre en une même procédure des affaires qui se rapportent à une situation de faits identique ou à une cause juridique commune. En l’occurrence, la recourante a requis la jonction de cette cause avec la cause PS.2013.0054. Les affaires concernent toutefois deux décisions différentes. Il n’y a pas lieu de joindre les causes, d’autant plus que la recourante ne subit pas de préjudice de la non-jonction des causes, les deux arrêts étant rendus sans frais.</w:t>
      </w:r>
    </w:p>
    <w:p>
      <w:r>
        <w:rPr>
          <w:b/>
        </w:rPr>
        <w:t>E. 4</w:t>
      </w:r>
    </w:p>
    <w:p>
      <w:r>
        <w:t>de la loi fédérale du 19 juin 1992 sur la protection des données (LPD; RS 235.1), qui dispose que tout traitement de données doit être licite et effectué conformément aux principes de la bonne foi et de la proportionnalité. En l’occurrence, en présence d’un traitement de données par des autorités cantonales vaudoises, ce n’est pas la LPD qui s’applique mais la loi vaudoise du 27 octobre 2007 sur la protection des données personnelles (LPrD; RSV 172.65), dont les art. 5 et 7 posent les principes de la légalité et de la proportionnalité. Au surplus le principe constitutionnel de la bonne foi s’impose aux autorités cantonales. En l’espèce, l'art. 38 al. 1 LASV institue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LPrD. Depuis l'entrée en vigueur le 1 er novembre 2008 de la LPrD, l'art. 38 al. 1 LASV constitue la base légale formelle pour le traitement de telles données par l'autorité. En outre, il ne ressort pas du dossier que le principe de la bonne foi aurait été violé. Enfin, le principe de la proportionnalité a été respecté, comme il sera exposé ci-dessous.</w:t>
      </w:r>
    </w:p>
    <w:p>
      <w:r>
        <w:rPr>
          <w:b/>
        </w:rPr>
        <w:t>E. 5</w:t>
      </w:r>
    </w:p>
    <w:p>
      <w:r>
        <w:t>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enfin toute restriction allant au-delà du but visé: il exige un rapport raisonnable entre ce but et les intérêts publics ou privés compromis (principe de la proportionnalité au sens étroit, impliquant une pesée des intérêts en présence – ATF 135 I 169 consid. 5.6, 176 consid. 8.1; 134 I 214 consid. 5.7, 221 consid. 3.3, et les arrêts cités). En demandant que les extraits de comptes requis par le CSR ne contiennent que les noms des créditeurs et les montants versés, la recourante remet implicitement en cause la nécessité pour le CSR de détenir des extraits de comptes complets. L’argument de la recourante n’est pas dénué de fondement. En effet, le contrôle du CSR porte avant tout sur les montants reçus par le bénéficiaire de l’aide sociale en sus des montants versés par l’Etat. Il ne faut toutefois pas négliger le fait que les débits effectués à partir de comptes de bénéficiaires peuvent également mettre le CSR sur la piste d’éventuels abus, par exemple en cas de transferts vers des comptes qui n’ont pas été déclarés. En outre, il n’est pas sûr que les banques acceptent de fournir des extraits ne contenant que les opérations de crédit. De manière générale, cette manière de faire compliquerait le travail des CSR et poserait ainsi un problème de coût. Or, le coût des différentes mesures envisageables peut être un élément à aborder pour juger du respect de la règle de la nécessité. Le Tribunal fédéral a ainsi jugé que si, pour être efficace, une mesure moins grave entraîne des coûts excessifs, l’autorité peut choisir une plus grave sans violer le principe de proportionnalité (cf. ATF 103 Ia 594 et 101 Ia 336, 342). D’ailleurs plus généralement les considérations de praticabilité jouent un rôle parfaitement admissible dans la gestion des tâches publiques concernant un nombre important d’administrés (Moor Pierre; Flückiger Alexandre; Martenet Vincent, Droit administratif, volume I: Les fondements généraux, Berne 2012, ch. 5.1.4.2, p. 799). L’argument de la recourante doit dès lors être rejeté.</w:t>
      </w:r>
    </w:p>
    <w:p>
      <w:r>
        <w:rPr>
          <w:b/>
        </w:rPr>
        <w:t>E. 6</w:t>
      </w:r>
    </w:p>
    <w:p>
      <w:r>
        <w:t>Au vu de ce qui précède, le recours doit être rejeté et la décision de l'autorité intimée confirmée. Cela étant, il convient de rappeler que la recourante a en tout temps la possibilité de déposer une nouvelle demande de RI en attestant de son indigence. Il sera statué sans frais, la procédure dans les affaires de prestations sociales étant gratuite (art. 4 al. 2 du tarif du 11 décembre 2007 des frais judiciaires en matière de droit administratif et public; RSV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