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PS.2013.0026 vom 20. September 2013</w:t>
      </w:r>
    </w:p>
    <w:p>
      <w:r>
        <w:t>VD Tribunal cantonal, 2013-09-20, FR</w:t>
      </w:r>
    </w:p>
    <w:p>
      <w:r>
        <w:rPr>
          <w:b/>
        </w:rPr>
        <w:t xml:space="preserve">Quelle: </w:t>
      </w:r>
      <w:r>
        <w:t>https://mcp.opencaselaw.ch/entscheid/vd_omni_PS.2013.0026</w:t>
      </w:r>
    </w:p>
    <w:p>
      <w:r>
        <w:t>FR: VD_OMNI PS.2013.0026 du 20 septembre 2013</w:t>
      </w:r>
    </w:p>
    <w:p>
      <w:r>
        <w:t>IT: VD_OMNI PS.2013.0026 del 20 settembre 2013</w:t>
      </w:r>
    </w:p>
    <w:p>
      <w:pPr>
        <w:pStyle w:val="Heading2"/>
      </w:pPr>
      <w:r>
        <w:t>Regeste</w:t>
      </w:r>
    </w:p>
    <w:p>
      <w:r>
        <w:t>X.________ /Service de prévoyance et d'aide sociales, Centre social régional JURA-NORD VAUDOIS | Recours contre une décision du SPAS déclarant irrecevable le recours formé le 28 janvier 2013 contre la décision du CSR du 14 décembre 2012. Décision du CSR adressée sous pli simple. Pas d'indication de la recourante quant à la date de notification. Même en tenant compte d'un écart de quelques jours entre la date de la décision et son expédition, ainsi que d'un éventuel retard d'acheminement de l'envoi du courrier B, le délai de recours était dépassé au 28 janvier 2013. Les motifs de restitution de délai invoqués par la recourante ne pas sont avérés. Les documents médicaux produits attestent uniquement du fait que l'état de santé de sa grand-mère entraîne une dépendance dans la vie quotidienne. Les circonstances du départ de la recourante ne semblent pas avoir dû répondre à une urgence qui l'aurait empêché de prendre les dispositions nécessaires pour organiser la levée de son courrier pendant son absence, étant donné qu'elle devait s'attendre à recevoir une décision du CSR. Recours rejeté</w:t>
      </w:r>
    </w:p>
    <w:p>
      <w:pPr>
        <w:pStyle w:val="Heading2"/>
      </w:pPr>
      <w:r>
        <w:t>Erwägungen</w:t>
      </w:r>
    </w:p>
    <w:p>
      <w:r>
        <w:rPr>
          <w:b/>
        </w:rPr>
        <w:t>E. 1</w:t>
      </w:r>
    </w:p>
    <w:p>
      <w:r>
        <w:t>Le recours formé le 3 avril 2013 devant l'autorité de céans à l'encontre de la décision du SPAS du 13 mars 2013 est recevable au regard du délai de recours de trente jours de l'art. 95 de la loi vaudoise du 28 octobre 2008 sur la procédure administrative (LPA-VD; RSV 173.36).</w:t>
      </w:r>
    </w:p>
    <w:p>
      <w:r>
        <w:rPr>
          <w:b/>
        </w:rPr>
        <w:t>E. 2</w:t>
      </w:r>
    </w:p>
    <w:p>
      <w:r>
        <w:t>consid. 3b p. 44).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pour autant que les lois cantonales de procédure ne contiennent pas de dispositions contraires concernant tant les notifications faites selon le droit fédéral que celles faites selon le droit cantonal ( ATF 109 Ia 15 consid. 4 p. 18). Cette fiction de notification n'est cependant applicable que lorsque la communication d'un acte officiel doit être attendue avec une certaine vraisemblance ( ATF 134 V 49 consid. 4 p. 52; 130 III 396 consid. 1.2.3 p. 399). L'envoi sous pli simple,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 ATF 124 V 400 consid. 2a p. 402 et réf. cit.).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 c) En l'occurrence, la décision du CSR du vendredi 14 décembre 2012 a été communiquée par écrit. Elle n'indique pas qu'elle aurait été expédiée sous pli recommandé. Il faut ainsi admettre que cette décision, dont il est établi qu'elle est parvenue à la connaissance de la recourante, lui a été adressée selon toute vraisemblance sous pli simple. La recourante n'a pas produit l'enveloppe contenant la décision ni n'a fourni des explications au sujet de la date à laquelle la décision est parvenue dans sa sphère d'influence. Dans ces conditions, il faut retenir en l'état, en l'absence de toute indication contraire de la recourante, que l'envoi est arrivé à son domicile dans les délais usuels de la poste, à savoir le lendemain du 14 décembre 2012 (en cas d'envoi en courrier A), voire quelques jours plus tard (en cas d'envoi en courrier B; cf. arrêt PS.2013.0019 du 17 juin 2013). Même en tenant compte d'un écart de quelques jours entre la date de la décision et son expédition, ainsi que d'un éventuel retard d'acheminement de l'envoi du courrier B de 4-5 jours (arrêt FI.2005.0008 du 6 décembre 2006 et références citées), il en résulte qu'au 28 janvier 2013, le délai de recours de trente jours de l'art. 77 LPA-VD était clairement dépassé.</w:t>
      </w:r>
    </w:p>
    <w:p>
      <w:r>
        <w:rPr>
          <w:b/>
        </w:rPr>
        <w:t>E. 3</w:t>
      </w:r>
    </w:p>
    <w:p>
      <w:r>
        <w:t>Les délais fixés par la loi ne peuvent être prolongés (art. 21 al. 1 LPA-VD). Toutefois, le délai peut être restitué lorsque la partie ou son mandataire établit avoir été empêché, sans sa faute de sa part, d’agir dans le délai fixé (art. 22 al. 1 LPA-VD). Lorsqu’un recours paraît tardif, l’autorité interpelle le recourant en lui impartissant un bref délai pour se déterminer ou retirer son recours (art. 78 al. 1 LPA-VD). a)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(cf. arrêt PS.2011.0050 du 30 mai 2012 consid. 2 et les références citées). Celui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(ATF 134 V 49 consid. 4 p. 52; 130 III 396 consid. 1.2.3 p. 399; 119 V 89 consid. consid. 4b/aa p. 94, et les arrêts cités). Tel est notamment le cas de celui qui s’adresse à l’autorité de recours. Dans une affaire portant sur un recours scolaire, le Tribunal cantonal avait considéré que le Département ne pouvait ignorer l’absence de la recourante pour quelques jours, signalée dans l’acte de recours, pour exiger, à bref délai, le versement de l’avance de frais et la production de la décision attaquée, à peine d’irrecevabilité; le recours avait été admis sous l’angle de la restitution du délai de recours (arrêt GE.2010.0126 du 7 septembre 2010). b ) En l’espèce, les motifs invoqués par la recourante ne pas sont avérés. Les documents médicaux produits attestent uniquement du fait que l’état de santé de Mme Z.________ entraîne une dépendance dans la vie quotidienne et nécessite une assistance pour les déplacements, mais ne se réfère pas à une hospitalisation. Les circonstances du départ de la recourante en France ne semblent pas avoir été précipitées ni avoir dû répondre à une urgence telle qui l’aurait empêché de prendre les dispositions nécessaires pour organiser la levée de son courrier pendant son absence, étant donné qu’elle devait s’attendre à recevoir une décision du CSR au vu de la demande qu’elle avait déposée. c) En conclusion, la décision du SPAS du 13 mars 2013 déclarant irrecevable le recours formé le 28 janvier 2013 (date du sceau postal) contre la décision du CSR du 14 décembre 2012 ne viole pas la loi ni ne procède d'un abus du pouvoir d'appréciation du SPAS et doit être confirmée.</w:t>
      </w:r>
    </w:p>
    <w:p>
      <w:r>
        <w:rPr>
          <w:b/>
        </w:rPr>
        <w:t>E. 4</w:t>
      </w:r>
    </w:p>
    <w:p>
      <w:r>
        <w:t>Au vu de l'issue de la procédure, l’arrêt est rendu sans frais (cf. art. 49 al. 1 et 50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