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PS.2012.0106 vom 11. September 2013</w:t>
      </w:r>
    </w:p>
    <w:p>
      <w:r>
        <w:t>VD Tribunal cantonal, 2013-09-11, FR</w:t>
      </w:r>
    </w:p>
    <w:p>
      <w:r>
        <w:rPr>
          <w:b/>
        </w:rPr>
        <w:t xml:space="preserve">Quelle: </w:t>
      </w:r>
      <w:r>
        <w:t>https://mcp.opencaselaw.ch/entscheid/vd_omni_PS.2012.0106</w:t>
      </w:r>
    </w:p>
    <w:p>
      <w:r>
        <w:t>FR: VD_OMNI PS.2012.0106 du 11 septembre 2013</w:t>
      </w:r>
    </w:p>
    <w:p>
      <w:r>
        <w:t>IT: VD_OMNI PS.2012.0106 del 11 settembre 2013</w:t>
      </w:r>
    </w:p>
    <w:p>
      <w:pPr>
        <w:pStyle w:val="Heading2"/>
      </w:pPr>
      <w:r>
        <w:t>Regeste</w:t>
      </w:r>
    </w:p>
    <w:p>
      <w:r>
        <w:t>X.________ /Instance juridique chômage Service de l'emploi, Office régional de placement d'Aigle, Centre social régional de Bex | Recours de l'assurée contre la réduction de 15% de son forfait RI pendant 3 mois pour ne pas avoir remis la preuve de ses recherches d'emploi à temps. Le fait d'avoir pensé en l'espèce que sa participation à un cours de l'ORP consistant à faire des recherches d'emploi la levait de l'obligation de communiquer la preuve de ces recherches à l'ORP constitue une erreur excusable au sens de l'art. 26 OACI. Admission du recours.</w:t>
      </w:r>
    </w:p>
    <w:p>
      <w:pPr>
        <w:pStyle w:val="Heading2"/>
      </w:pPr>
      <w:r>
        <w:t>Erwägungen</w:t>
      </w:r>
    </w:p>
    <w:p>
      <w:r>
        <w:rPr>
          <w:b/>
        </w:rPr>
        <w:t>E. 1</w:t>
      </w:r>
    </w:p>
    <w:p>
      <w:r>
        <w:t>Interjeté dans le délai et les formes requises auprès du tribunal compétent (art. 75, 77, 79, 92, 95 et 99 de la loi du 28 octobre 2008 sur la procédure administrative [LPA-VD; RSV 173.36]), le recours est manifestement recevable. Il y a donc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du recours et à l'annulation de la décision attaquée. La procédure est gratuite et, la recourante ayant procédé sans l'assistance d'un avocat, il ne lui sera pas alloué de dépens (art. 55, 91 et 99 LPA-VD, 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