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PS.2012.0093 vom 29. Juli 2013</w:t>
      </w:r>
    </w:p>
    <w:p>
      <w:r>
        <w:t>VD Tribunal cantonal, 2013-07-29, FR</w:t>
      </w:r>
    </w:p>
    <w:p>
      <w:r>
        <w:rPr>
          <w:b/>
        </w:rPr>
        <w:t xml:space="preserve">Quelle: </w:t>
      </w:r>
      <w:r>
        <w:t>https://mcp.opencaselaw.ch/entscheid/vd_omni_PS.2012.0093</w:t>
      </w:r>
    </w:p>
    <w:p>
      <w:r>
        <w:t>FR: VD_OMNI PS.2012.0093 du 29 juillet 2013</w:t>
      </w:r>
    </w:p>
    <w:p>
      <w:r>
        <w:t>IT: VD_OMNI PS.2012.0093 del 29 luglio 2013</w:t>
      </w:r>
    </w:p>
    <w:p>
      <w:pPr>
        <w:pStyle w:val="Heading2"/>
      </w:pPr>
      <w:r>
        <w:t>Regeste</w:t>
      </w:r>
    </w:p>
    <w:p>
      <w:r>
        <w:t>X.________ /Service de prévoyance et d'aide sociales, Centre social régional de Lausanne | Recours rejeté contre une décision du SPAS de remboursement des aides versées de manière indue. La recourante qui n'a pas annoncé avoir perçu une bourse d'étude en même temps que les prestations sociales ne peut se prévaloir de sa bonne foi de sorte qu'il n'est pas nécessaire d'examiner si l'obligation de rembourser la mettrait dans une situation financière difficile (art. 41 LASV). Calcul du montant à rembourser confirmé.</w:t>
      </w:r>
    </w:p>
    <w:p>
      <w:pPr>
        <w:pStyle w:val="Heading2"/>
      </w:pPr>
      <w:r>
        <w:t>Erwägungen</w:t>
      </w:r>
    </w:p>
    <w:p>
      <w:r>
        <w:rPr>
          <w:b/>
        </w:rPr>
        <w:t>E. 1</w:t>
      </w:r>
    </w:p>
    <w:p>
      <w:r>
        <w:t>La recourante fait principalement valoir sa bonne foi pour s’opposer à la restitution des montants versés indûment pour la période de septembre 2011 à février 2012.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Quant à l’obligation de rembourser les montants indûment perçus, elle est réglée à l’art. 41 al. 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Il n'est pas contesté que la recourante a perçu à la fois le montant de sa bourse et l'aide sociale entre les mois de septembre 2011 et mars 2012. Le Tribunal administratif, auquel a succédé la Cour de droit administratif et public du Tribunal cantonal, a jugé que,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 2001.0098 du 11 septembre 2001; dans ce même sens, Wolffers, éd. 1995, op. cit., note 106, p. 148). La jurisprudence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BO.2007.0174 du 10 décembre 2008 consid. 1a; BO.2008.0044 du 6 novembre 2008 consid. 2b). De manière constante, la Cour de droit administratif et public du Tribunal cantonal a retenu qu'une bourse d'études tenue pour insuffisante ne pouvait être complétée par des prestations d'aide sociale, en l’occurrence le revenu d’insertion (PS.2011.0045 du 22 novembre 2011 ; PS.2007.0166 du 28 novembre 2007; PS.2007.0069 du 15 août 2007 consid. 3 et les références citées). c) La recourante est ainsi tenue à restitution de l'aide sociale perçue indûment. Elle conteste devoir rembourser l'aide sociale en invoquant sa bonne foi, puisqu'elle a expressément informé le CSR de son intention de reprendre ses études en mars 2011. Le 15 juillet 2011, elle aurait annoncé le dépôt de sa demande de bourse ; il lui aurait alors été répondu qu’elle devait compléter le formulaire de déclaration des revenus  " comme elle en avait l’habitude ". Il lui aurait été demandé d’annoncer la reprise de ses études et sa demande de bourse par le biais d’un "post-it" collé sur ledit formulaire faute de place sur celui-ci. S'il ressort des pièces au dossier que le CSR a bien été informé, en mars 2011, du souhait de la recourante de reprendre des études en septembre 2011, le dossier ne comporte aucune trace écrite confirmant la concrétisation de cette intention. Au contraire, la recourante n'a pas indiqué sur le formulaire de déclaration de revenus du mois de septembre 2011 qu'elle entreprenait une formation, ni qu'elle avait perçu une bourse. Elle a toutefois reçu un premier versement de l'OCBEA le 28 septembre 2011. Elle a par la suite systématiquement coché la réponse "non" à la question relative aux revenus perçus sur les formulaires des mois suivants. Elle n'a pas non plus annoncé le versement de la seconde tranche de sa bourse, en février 2012. La recourante ne s’est enfin pas présentée aux entretiens de suivi professionnel dès le mois de mai 2011, de sorte qu'elle n'a pas non plus informé oralement le CSR de sa situation. Au vu notamment des indications claires figurant sur le formulaire de déclaration de revenus, la recourante ne pouvait pourtant ignorer que la reprise d'une formation et les montants perçus de l’OCBEA devaient être annoncés au CSR. En cas de doute, elle aurait pu et dû s’informer auprès du CSR. Dans ces circonstances, la bonne foi de la recourante doit être niée. Celle-ci est donc tenue de restituer les montants perçus indûment pour toute la période d'études pour laquelle elle a perçu une bourse, de sorte qu’il n’y a pas lieu d'examiner si l'obligation de rembourser la mettrait dans une situation financière difficile (art. 41 al. 1 LASV).</w:t>
      </w:r>
    </w:p>
    <w:p>
      <w:r>
        <w:rPr>
          <w:b/>
        </w:rPr>
        <w:t>E. 2</w:t>
      </w:r>
    </w:p>
    <w:p>
      <w:r>
        <w:t>La recourante conteste encore le montant à rembourser. Elle expose avoir perçu au titre du RI, pour la période de septembre 2011 à février 2012, un montant de 7'289.20 fr. et non de 8'426.60 francs, tel que retenu par l’autorité intimée. Elle soutient également que l’indu s’élève pour cette période à 3’003 fr., ce qui correspondrait au montant de sa bourse d’études pro rata temporis . a) Comme il a été indiqué plus haut, l’octroi d’une bourse d’études, même insuffisante, exclut pour la même période l’octroi de prestations sociales tel le revenu d’insertion. C’est bien le RI qui est subsidiaire à la bourse d’études et non l’inverse. C’est dès lors la totalité des montants perçus au titre du RI, pour vivre dès le mois de septembre 2011, qui doit être restituée par la recourante et non la bourse d’études dont elle a bénéficié. b) En l’occurrence, il résulte des pièces au dossier et de la décision attaquée que la recourante a perçu au mois d’août 2011, le montant de l’aide pour vivre en septembre 2011. Le dernier versement, effectué en février 2012, a servi pour vivre en mars 2012. Ainsi, les montants perçus, au titre du RI, par la recourante pour la période litigieuse, soit de septembre 2011 à mars 2012, s’élèvent à 8'426.60 francs. Le calcul se décompose comme il suit : Août 2011            1'214 fr. Septembre 2011             1'420.10 fr. Octobre 2011      1'330.15 fr. Novembre 2011  1'167.95 fr. Décembre 2011  1'078.50 fr. Janvier 2012        1'078.50 fr. Février 2012        1'137.50 fr. C’est donc bien ce montant de 8'426.60 francs, tel que retenu par l’autorité intimée, qui doit être remboursé au titre de l’indu.</w:t>
      </w:r>
    </w:p>
    <w:p>
      <w:r>
        <w:rPr>
          <w:b/>
        </w:rPr>
        <w:t>E. 3</w:t>
      </w:r>
    </w:p>
    <w:p>
      <w:r>
        <w:t>La recourante conclut enfin à l’octroi de dommages et intérêts et à une indemnité à titre de dédommagement pour le tort moral subi. Elle conclut également à ce que des sanctions administratives soient prises contre la personne responsable de son dossier au CSR. a) L es actions fondées sur la loi du 16 mai 1961 sur la responsabilité de l’Etat, des communes et de leurs agents (LRC; RSV 170.11) ressortissent aux tribunaux ordinaires (art. 14 LRC), soit la juridiction civile (art. 17 LRC). La Cour de droit administratif et public du Tribunal cantonal n’est dès lors pas compétente pour statuer sur la question d’une éventuelle responsabilité de l’Etat ou de ses agents. Cette conclusion est, partant, irrecevable.</w:t>
      </w:r>
    </w:p>
    <w:p>
      <w:r>
        <w:rPr>
          <w:b/>
        </w:rPr>
        <w:t>E. 4</w:t>
      </w:r>
    </w:p>
    <w:p>
      <w:r>
        <w:t>Il résulte des considérants qui précèdent que le recours est rejeté dans la mesure où il est recevable et la décision attaquée confirmée. Compte tenu de la matière, l'arrêt est rendu sans frais (art. 45 LPA-VD). La recourante, qui succombe,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