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PS.2012.0086 vom 24. Juni 2013</w:t>
      </w:r>
    </w:p>
    <w:p>
      <w:r>
        <w:t>VD Tribunal cantonal, 2013-06-24, FR</w:t>
      </w:r>
    </w:p>
    <w:p>
      <w:r>
        <w:rPr>
          <w:b/>
        </w:rPr>
        <w:t xml:space="preserve">Quelle: </w:t>
      </w:r>
      <w:r>
        <w:t>https://mcp.opencaselaw.ch/entscheid/vd_omni_PS.2012.0086</w:t>
      </w:r>
    </w:p>
    <w:p>
      <w:r>
        <w:t>FR: VD_OMNI PS.2012.0086 du 24 juin 2013</w:t>
      </w:r>
    </w:p>
    <w:p>
      <w:r>
        <w:t>IT: VD_OMNI PS.2012.0086 del 24 giugno 2013</w:t>
      </w:r>
    </w:p>
    <w:p>
      <w:pPr>
        <w:pStyle w:val="Heading2"/>
      </w:pPr>
      <w:r>
        <w:t>Regeste</w:t>
      </w:r>
    </w:p>
    <w:p>
      <w:r>
        <w:t>X.________ /Service de prévoyance et d'aide sociales, Centre social régional de l'Est lausannois-Oron-Lavaux | Recours contre une suspension du versement du RI. Les circonstances particulières du cas d'espèce peuvent donner à première vue l'apparence d'un concubinage stable. L'audience a toutefois permis au tribunal d'obtenir une vision plus détaillée de la situation. Le recourant et sa colocataire partagent le toit, souvent la table, parfois le lit et les loisirs. Cela ne suffit toutefois pas pour que l'on puisse conclure à l'existence d'une relation de concubinage présentant toutes les caractéristiques d'une union conjugale comparable à un mariage. Il n'en demeure pas moins que les colocataires ont une organisation qui permet certaines économies. Il conviendra que le CSR en tienne compte lorsqu'il calculera le montant auquel le recourant pourrait prétendre. Admission du recours et renvoi du dossier à l'autorité pour nouvelle décision.</w:t>
      </w:r>
    </w:p>
    <w:p>
      <w:pPr>
        <w:pStyle w:val="Heading2"/>
      </w:pPr>
      <w:r>
        <w:t>Erwägungen</w:t>
      </w:r>
    </w:p>
    <w:p>
      <w:r>
        <w:rPr>
          <w:b/>
        </w:rPr>
        <w:t>E. 1</w:t>
      </w:r>
    </w:p>
    <w:p>
      <w:r>
        <w:t>a) Selon l’art. 1 de la loi du 2 décembre 2003 sur l'action sociale vaudoise (LASV; RSV 850.051), entrée en vigueur le 1 er janvier 2006, 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annex¿nbsp;au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cf. aussi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w:t>
      </w:r>
    </w:p>
    <w:p>
      <w:r>
        <w:rPr>
          <w:b/>
        </w:rPr>
        <w:t>E. 2</w:t>
      </w:r>
    </w:p>
    <w:p>
      <w:r>
        <w:t>a) En l’espèce, le CSR et l’autorité intimée ont jugé que la relation du recourant avec Y.________ pouvait être assimilée à un concubinage au motif que le recourant avait admis vivre une relation de couple avec sa colocataire, qu’ils formaient un couple aux yeux de leurs amis et de leurs proches, qu’ils admettaient partager le toit, la table, le lit et les loisirs. L’autorité intimée a aussi pris en considération la durée de la cohabitation sous le même toit, soit cinq ans environ et le fait que Y.________ accepte de se déplacer de Villette à Genève pour son travail. Il est vrai que les circonstances particulières du cas d'espèce peuvent donner à première vue l'apparence d'un concubinage stable. L’audience a toutefois permis au tribunal d’obtenir une vision plus détaillée de la situation. Il en est ressorti que la communauté de vie du recourant et de sa colocataire est sans doute peu courante et peut être sujette à des interprétations incorrectes. Il est à cet égard compréhensible que le CSR ait pu être induit en erreur par les déclarations des tiers. L’audition de la colocataire du recourant a toutefois éclairé la situation d’une autre lumière, qui relativise fortement la portée des déclarations des tiers. En effet, comme l’a relevé Y.________ lors de l’audience: " En référence aux affirmations du propriétaire et du couple qui occupait la maison lorsque l’enquêtrice est passée la première fois, selon lesquelles nous formerions un couple, je précise que nous sommes des amis et non des amoureux " . En l’occurrence, le recourant et sa colocataire n’ont pas contesté partager le toit, souvent la table, parfois le lit et les loisirs. Ils ont tout à fait ouvertement reconnu entretenir de véritables liens d’amitié et avoir de l’affection l’un pour l’autre. Ils ont néanmoins, et à juste titre, relevé que cela ne suffisait pas pour que l’on puisse conclure à l’existence relation de concubinage présentant toutes les caractéristiques d’une union conjugale comparable à un mariage. En particulier, la colocataire du recourant a affirmé de manière constante être engagée dans une relation avec une autre personne depuis plusieurs années. Sur la base notamment de l’audition de l’intéressée lors de l’audience, le tribunal n’a aucune raison de mettre en doute la véracité de cette affirmation. Sur le plan financier, rien ne vient infirmer l’affirmation du recourant et de sa colocataire selon laquelle ils ne mettent pas en commun leurs ressources pour la prospérité du ménage. Chacun a son propre compte bancaire, ce qui prouve une indépendance financière. Ils partagent les frais inhérents à une cohabitation sans que l'on puisse parler d'une mise en commun des biens. Lors de l’audience, Y.________ a expliqué qu’ils partageaient le loyer et les charges de la maison moitié-moitié. Depuis la suppression de l’aide sociale à la fin du mois de juin 2012, elle prend seule en charge le loyer et les frais. Le tribunal estime que ce geste généreux ne doit pas conduire à considérer le recourant et sa colocataire comme des concubins, d’autant plus que le recourant semble s’être tourné avant tout vers son frère pour obtenir les moyens de subsistance nécessaire. En définitive, le tribunal considère que le recourant et sa colocataire ne forment pas une communauté de type conjugal comparable à celle d'un mariage avec les devoirs d'assistance qu'il implique. Il n’en demeure pas moins que les colocataires ont une organisation – notamment par le partage des frais de nourriture – qui permet certaines économies. Il conviendra que le CSR en tienne compte lorsqu’il calculera le montant auquel le recourant pourrait prétendre. Il conviendra également que le CSR examine les avoirs du recourant, notamment bancaires, afin de vérifier le respect des limites de fortune fixées à l’art. 18 RLASV. Le dossier est dès lors retourné au Centre social régional de l’Est lausannois-Oron-Lavaux pour examen des autres conditions d’octroi du RI.</w:t>
      </w:r>
    </w:p>
    <w:p>
      <w:r>
        <w:rPr>
          <w:b/>
        </w:rPr>
        <w:t>E. 3</w:t>
      </w:r>
    </w:p>
    <w:p>
      <w:r>
        <w:t>Il résulte des considérants qui précèdent que le recours doit être admis et la décision de l’autorité intimée annulée; le dossier est renvoyé au CSR pour nouvelle décision dans le sens des considérants. Il n’y a en outre pas lieu de percevoir de frais de justice en matière de prestations sociales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