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PS.2012.0045 vom 25. Oktober 2012</w:t>
      </w:r>
    </w:p>
    <w:p>
      <w:r>
        <w:t>VD Tribunal cantonal, 2012-10-25, FR</w:t>
      </w:r>
    </w:p>
    <w:p>
      <w:r>
        <w:rPr>
          <w:b/>
        </w:rPr>
        <w:t xml:space="preserve">Quelle: </w:t>
      </w:r>
      <w:r>
        <w:t>https://mcp.opencaselaw.ch/entscheid/vd_omni_PS.2012.0045</w:t>
      </w:r>
    </w:p>
    <w:p>
      <w:r>
        <w:t>FR: VD_OMNI PS.2012.0045 du 25 octobre 2012</w:t>
      </w:r>
    </w:p>
    <w:p>
      <w:r>
        <w:t>IT: VD_OMNI PS.2012.0045 del 25 ottobre 2012</w:t>
      </w:r>
    </w:p>
    <w:p>
      <w:pPr>
        <w:pStyle w:val="Heading2"/>
      </w:pPr>
      <w:r>
        <w:t>Regeste</w:t>
      </w:r>
    </w:p>
    <w:p>
      <w:r>
        <w:t>X.________/Instance juridique chômage Service de l'emploi, Office régional de placement de Morges-Aubonne, Centre social régional de Morges-Aubonne-Cossonay | Le Service de l'emploi, comme autorité de recours des décisions rendues par les Offices régionaux de placement, doit veiller à l'établissement exact et complet des faits déterminants pour l'issue de la cause; la très grande vraisemblance d'un fait peut suffire, et il convient de tenir compte de l'obligation des parties de collaborer à la constatation des faits dont elles entendent déduire des droits. Le recourant qui a produit un certificat médical dont la validité est douteuse ne peut simplement renvoyer l'autorité à investiguer à ce sujet, sans offrir la moindre explication ou offre de preuve à cet égard (consid. 2). Recours au Tribunal fédéral irrecevable (ATF 8C_1011/2012 du 21 février 2013).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Les prestations financières du RI sont réduites sans procédure d' avertissement préalable en cas de: a.   rendez-vous non respecté (y compris la séance d'information); b.  absence ou insuffisance de recherches de travail; c.   refus, abandon ou renvoi d'une mesure d'insertion professionnelle; d.   refus d'un emploi convenable; e.   violation de l'obligation de renseigner.</w:t>
      </w:r>
    </w:p>
    <w:p>
      <w:r>
        <w:rPr>
          <w:b/>
        </w:rPr>
        <w:t>E. 2</w:t>
      </w:r>
    </w:p>
    <w:p>
      <w:r>
        <w:t>Le refus d'observer d'autres instructions entraîne une diminution des prestations financières après un avertissement .</w:t>
      </w:r>
    </w:p>
    <w:p>
      <w:r>
        <w:rPr>
          <w:b/>
        </w:rPr>
        <w:t>E. 3</w:t>
      </w:r>
    </w:p>
    <w:p>
      <w:r>
        <w:t>Le montant et la durée de la réduction, fixés en fonction du type, de la gravité et de la répétition du manquement, sont de 15% ou de 25% du forfait, pour une durée de 2 à 12 mois. La réduction du forfait ne touche pas la part affectée aux enfants à charge.</w:t>
      </w:r>
    </w:p>
    <w:p>
      <w:r>
        <w:rPr>
          <w:b/>
        </w:rPr>
        <w:t>E. 4</w:t>
      </w:r>
    </w:p>
    <w:p>
      <w:r>
        <w:t>Le recours doit ainsi être rejeté, et la décision attaquée confirmée. Il est statué sans frais, ni dépens (art. 50, 52, 55 et 56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