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PS.2012.0039 vom 13. September 2012</w:t>
      </w:r>
    </w:p>
    <w:p>
      <w:r>
        <w:t>VD Tribunal cantonal, 2012-09-13, FR</w:t>
      </w:r>
    </w:p>
    <w:p>
      <w:r>
        <w:rPr>
          <w:b/>
        </w:rPr>
        <w:t xml:space="preserve">Quelle: </w:t>
      </w:r>
      <w:r>
        <w:t>https://mcp.opencaselaw.ch/entscheid/vd_omni_PS.2012.0039</w:t>
      </w:r>
    </w:p>
    <w:p>
      <w:r>
        <w:t>FR: VD_OMNI PS.2012.0039 du 13 septembre 2012</w:t>
      </w:r>
    </w:p>
    <w:p>
      <w:r>
        <w:t>IT: VD_OMNI PS.2012.0039 del 13 settembre 2012</w:t>
      </w:r>
    </w:p>
    <w:p>
      <w:pPr>
        <w:pStyle w:val="Heading2"/>
      </w:pPr>
      <w:r>
        <w:t>Regeste</w:t>
      </w:r>
    </w:p>
    <w:p>
      <w:r>
        <w:t>A. X.________/Service de prévoyance et d'aide sociales, Centre social régional d'Yverdon-Grandson, B. Y.________ | Cette cohabitation ne semble également pas aller aussi loin que la communauté économique de type familial finançant les fonctions ménagères conventionnelles (gîte, couvert, lessive, entretien, télécommunications, etc.). Le tribunal est ainsi arrivé à la concusion que les frais de nourriture, tout comme les frais de télécommunication, ne sont pas partagés et que chacun assume ses propres dépenses personnelles. On se trouve donc dans une situation de colocation au sens de l'art. 28 al. 3 RLASV, sans que l'on puisse parler d'une communauté économique de type familial. Recours admis.</w:t>
      </w:r>
    </w:p>
    <w:p>
      <w:pPr>
        <w:pStyle w:val="Heading2"/>
      </w:pPr>
      <w:r>
        <w:t>Erwägungen</w:t>
      </w:r>
    </w:p>
    <w:p>
      <w:r>
        <w:rPr>
          <w:b/>
        </w:rPr>
        <w:t>E. 1</w:t>
      </w:r>
    </w:p>
    <w:p>
      <w:r>
        <w:t>a) Selon l’art. 1 de la loi du 2 décembre 2003 sur l'action sociale vaudoise (LASV; RSV 850.051), entrée en vigueur le 1 er janvier 2006,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Mais l'existence d’une union libre stable entraînant des obligations d’entraide comparables à celle d’un mariage n'est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voir aussi ATF 129 I 1 consid. 3.2.3 et 3.2.4 p. 5 ss; Tribunal administratif, arrêts PS.2005.0181 du 20 janvier 2006 consid. 2a et les références citées, PS.1996.0152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w:t>
      </w:r>
    </w:p>
    <w:p>
      <w:r>
        <w:rPr>
          <w:b/>
        </w:rPr>
        <w:t>E. 2</w:t>
      </w:r>
    </w:p>
    <w:p>
      <w:r>
        <w:t>a) En l’espèce, la recourante conteste former avec Y.________ une communauté de vie de type familial. Elle explique vivre en colocation avec ce dernier et ne pas bénéficier de ses revenus. Le CSR et l’autorité intimée ont jugé que la relation de la recourante avec Y.________ pouvait être assimilée à un concubinage au motif que celui-ci lui a avancé à plusieurs reprises des sommes d’argent sur son compte bancaire, entre le mois de novembre 2011 et le mois de février 2012, pour un montant total de 7'800 fr., remboursable au 31 décembre 2013 selon une reconnaissance de dette produite au CSR le 28 février 2012. Ils ont considéré que ces versements prouvaient l’existence d’un « devoir » d’entraide entre concubins et que la reconnaissance de dette, signée après le dépôt de la demande d’aide sociale, ne pouvait être prise en considération pour ce motif. Ils ont aussi prise en considération la durée de la cohabitation sous le même toit, soit cinq ans environ. Enfin, ils se sont appuyés également sur les propres déclarations de la recourante lors des entretiens avec les représentants du CSR. En l’espèce, il est vrai que de telles circonstances peuvent donner l’apparence d’un concubinage stable, mais comme le Tribunal fédéral le relève dans sa jurisprudence, il n'existe entre les concubins aucun devoir légal d'entretien et d'assistance ( ATF 129 I consid. 3.2.4 p. 6). b) C’est la raison pour laquelle le concubinage apparenté au mariage doit être admis que de manière restrictive. L’existence d’une cohabitation sous le même toit, même pendant plus de deux années ou plus de cinq ans ne suffit pas à elle seule à prouver que le concubinage comprend un devoir de fidélité et d’assistance comparable à celui du mariage. Il est vrai que Y.________ a avancé des sommes relativement importantes à la recourante entre le mois de novembre 2011 et de février 2012, mais le mode de paiement de ces montants prouve que ce dernier voulait garder une trace de ces versements, qui sont pris en compte comme avances ou prêts remboursables. Cette comptabilité montre d’ailleurs que chaque dépense liée à la cohabitation est justifiée et partagée si elle entre dans les frais communs. Il est vrai que la reconnaissance de dette a été produite après le dépôt de la demande d’aide sociale, mais Y.________ a aussi effectué des avances en faveur de la recourante durant le mois de février 2012, soit après le dépôt de la demande. En tous les cas, la recourante ne forme pas avec Y.________ une communauté de type conjugal. Ces deux personnes ne  mettent en effet pas en commun leur ressources pour la prospérité du ménage, mais conservent chacune des comptes bien séparés, ce qui tend à prouver l’existence d’une indépendance financière, que la recourante a déclaré vouloir maintenir comme un point essentiel et une condition primordiale pour la cohabitation avec Y.________. La recherche de cette indépendance se confirme aussi par le fait que la recourante et Y.________ disposent chacun de leur propre frigo, de leur propre nourriture ainsi que de leur propre ligne téléphonique. Le fait que la recourante et Y.________ tiennent une comptabilité des dépenses, démontre qu’ils partagent tous les frais inhérents à une cohabitation sans que l’on puisse parler d’une mise en commun des biens. Aussi, il n’appartient pas au tribunal de déterminer si la recourante et M. Y.________ ont pu entretenir une relation sentimentale à l’origine de la cohabitation, car la seule question à trancher est celle de savoir si l’intensité de la relation implique une obligation d’entraide comparable à celle d’un mariage. En réalité Y.________ n’est pas tenu par une obligation d’entretien de la recourante et les avances qu’il a consenties à la recourante ressortent plutôt du domaine du contrat de prêt que de la relation d’aide propre à un concubinage stable. Il est vrai que le CSR et l’autorité intimée se sont référés aussi aux comptes-rendus d’entretien avec la recourante, desquels il pouvait ressortir que Y.________ était le « compagnon » de la recourante. Mais ces documents n’ont pas été soumis à la recourante qui n’a dès lors pas pu exercer son droit d’être entendue à leur sujet. Le tribunal ne peut donc accorder une force probante déterminante à de telles pièces, même si elles peuvent constituer des éléments d’appréciation. L’ensemble de ces éléments n’est ainsi pas suffisant pour parler d’une union conjugale comparable à celle d’un mariage avec les devoirs d’assistances qu’il implique. c) En définitive, le tribunal considère que la recourante et Y.________ vivent sous le même toit et partagent les frais de loyer et les charges inhérents à une collocation, tels que les frais de ramonage, les taxes communales, l’électricité, l’achat du mazout etc. Les frais de télécommunication sont en revanche séparés, chacun ayant sa propre ligne (du moins tant que la ligne de la recourante était en service) et son propre portable. Dans son recours du 16 mars 2012 auprès du SPAS, la recourante a allégué avoir apporté la preuve que les dépenses étaient partagées et que chacun s'occupait de la nourriture séparément, ce qu’elle a confirmé lors de l’audience du 24 août 2012, en précisant que chacun faisait ses courses séparément, disposait de son propre frigo et cuisinait sa propre nourriture. La situation de la cohabitation ne semble donc pas aller aussi loin que la communauté de type familial finançant les fonctions ménagères conventionnelles (gîte, couvert, lessive, entretien, télécommunications, etc.). L'attestation de collocation du 1er février 2012 précisait toutefois que « tous les frais inhérents au logement sis à Treycovagnes, ainsi que les frais du ménage comme la nourriture sont divisés en deux. » La recourante a certes produit auprès du CSR les tickets des courses du mois d’août 2010 auxquels était joint un calcul manuscrit laissant supposer un partage du montant de celles-ci. Mais elle a produit aussi les tickets des courses du mois de novembre 2011 qui ne contenaient aucun décompte, de sorte que l'on peut aussi en déduire que tant la recourante que Y.________ payent chacun leurs courses pour la nourriture. Interpellée sur cette question, la recourante a apporté les précisions suivantes dans sa réponse du 4 septembre 2012: « (…) 1.     Il n’y a pas de dépenses communes liées à la nourriture 2.     L’alimentation est organisée de manière séparée avec un frigo à l’étage et un à la buanderie. 3.     Il n’y a pas de caisse commune ou budget commun. Pour preuve : De mon côté je pratique actuellement une alimentation principalement crue, faite de fruits et de légumes et de noix. De son côté, M. Y.________ favorise une alimentation à base de céréales, pâtes et viande. Pour votre information, les tickets des dépenses sont gardés uniquement à titre de statistique.  (…) » Le tribunal doit donc déduire de cette situation que les frais de nourriture, tout comme les frais de télécommunication, ne sont pas partagés, et que chacun garde ses propres dépenses personnelles. On se trouve dans une situation de collocation au sens de l’art. 28 al. 3 RLASV, sans que l’on puisse parler d’une communauté de type familial. L a recourante a ainsi droit aux prestations du revenu d’insertion prévues par l’art. 28 al. 3 RLASV dès le dépôt de sa demande.</w:t>
      </w:r>
    </w:p>
    <w:p>
      <w:r>
        <w:rPr>
          <w:b/>
        </w:rPr>
        <w:t>E. 3</w:t>
      </w:r>
    </w:p>
    <w:p>
      <w:r>
        <w:t>Il résulte des considérants qui précèdent que le recours doit être admis et la décision de l’autorité intimée annulée, le dossier est renvoyé au CSR pour nouvelle décision dans le sens des considérants. Il n’y a en outre pas lieu de percevoir de frais de justice en matière de prestations sociales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