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PS.2012.0032 vom 17. Juli 2012</w:t>
      </w:r>
    </w:p>
    <w:p>
      <w:r>
        <w:t>VD Tribunal cantonal, 2012-07-17, FR</w:t>
      </w:r>
    </w:p>
    <w:p>
      <w:r>
        <w:rPr>
          <w:b/>
        </w:rPr>
        <w:t xml:space="preserve">Quelle: </w:t>
      </w:r>
      <w:r>
        <w:t>https://mcp.opencaselaw.ch/entscheid/vd_omni_PS.2012.0032</w:t>
      </w:r>
    </w:p>
    <w:p>
      <w:r>
        <w:t>FR: VD_OMNI PS.2012.0032 du 17 juillet 2012</w:t>
      </w:r>
    </w:p>
    <w:p>
      <w:r>
        <w:t>IT: VD_OMNI PS.2012.0032 del 17 luglio 2012</w:t>
      </w:r>
    </w:p>
    <w:p>
      <w:pPr>
        <w:pStyle w:val="Heading2"/>
      </w:pPr>
      <w:r>
        <w:t>Regeste</w:t>
      </w:r>
    </w:p>
    <w:p>
      <w:r>
        <w:t>X.________ /Service de prévoyance et d'aide sociales, Centre social intercommunal de Vevey | Revenu d'insertion (RI) versé par le CSI depuis 2006, à titre d'avance, à la recourante dans l'attente d'une décision de rente de l'assurance-invalidité (AI) et de prestations complémentaires (PC). Ensuite de l'octroi successif d'une rente AI et de PC, l'intéressée relève exclusivement du régime AI/PC depuis le 1er mai 2010, raison pour laquelle son droit au RI a valablement pris fin en avril 2010. Le CSI n'avait ainsi pas à lui rembourser, entièrement ou prorata temporis, diverses factures produites en juin 2010 en lien avec des frais de propriété, pour un total avoisinant les 4'500 fr.; les montants perçus par l'intéressée à titre rétroactif, pour près de 44'000 fr., devraient manifestement lui permettre d'assumer ces coûts. Recours rejeté.</w:t>
      </w:r>
    </w:p>
    <w:p>
      <w:pPr>
        <w:pStyle w:val="Heading2"/>
      </w:pPr>
      <w:r>
        <w:t>Erwägungen</w:t>
      </w:r>
    </w:p>
    <w:p>
      <w:r>
        <w:rPr>
          <w:b/>
        </w:rPr>
        <w:t>E. 1</w:t>
      </w:r>
    </w:p>
    <w:p>
      <w:r>
        <w:t>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considérés comme des avances et le bénéficiaire est tenu de les restituer (y compris les frais particuliers ou exceptionnels).</w:t>
      </w:r>
    </w:p>
    <w:p>
      <w:r>
        <w:rPr>
          <w:b/>
        </w:rPr>
        <w:t>E. 2</w:t>
      </w:r>
    </w:p>
    <w:p>
      <w:r>
        <w:t>L'autorité ayant octroyé le RI est subrogée dans les droits du bénéficiaire à concurrence des montants versés par elle et peut demander aux assurances concernées que les arrérages des rentes soient versés en ses mains jusqu'à concurrence des prestations allouées.</w:t>
      </w:r>
    </w:p>
    <w:p>
      <w:r>
        <w:rPr>
          <w:b/>
        </w:rPr>
        <w:t>E. 3</w:t>
      </w:r>
    </w:p>
    <w:p>
      <w:r>
        <w:t>Les considérants qui précèdent conduisent au rejet du recours et à la confirmation de la décision attaquée. Le présent arrêt est rendu sans frais (art. 4 al. 2 du tarif des frais judiciaires en matière de droit administratif et public du 11 décembre 2007 [TFJAP; RSV 173.36.5.1] et art. 45 de la loi vaudoise du 28 octobre sur la procédure administrative [LPA-VD; RSV 173.36]). Il n'y a pas lieu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