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PS.2011.0020 vom 26. Juli 2011</w:t>
      </w:r>
    </w:p>
    <w:p>
      <w:r>
        <w:t>VD Tribunal cantonal, 2011-07-26, FR</w:t>
      </w:r>
    </w:p>
    <w:p>
      <w:r>
        <w:rPr>
          <w:b/>
        </w:rPr>
        <w:t xml:space="preserve">Quelle: </w:t>
      </w:r>
      <w:r>
        <w:t>https://mcp.opencaselaw.ch/entscheid/vd_omni_PS.2011.0020</w:t>
      </w:r>
    </w:p>
    <w:p>
      <w:r>
        <w:t>FR: VD_OMNI PS.2011.0020 du 26 juillet 2011</w:t>
      </w:r>
    </w:p>
    <w:p>
      <w:r>
        <w:t>IT: VD_OMNI PS.2011.0020 del 26 luglio 2011</w:t>
      </w:r>
    </w:p>
    <w:p>
      <w:pPr>
        <w:pStyle w:val="Heading2"/>
      </w:pPr>
      <w:r>
        <w:t>Regeste</w:t>
      </w:r>
    </w:p>
    <w:p>
      <w:r>
        <w:t>X.________ c/Instance juridique chômage Service de l'emploi, Office régional de placement de Lausanne, Centre social régional de Lausanne | Le fait que le recourant ait interrompu l'entretien de conseil et de contrôle alors même qu'il n'était pas terminé et ait de la sorte empêché l'évaluation de sa situation, ce qui était l'objectif d'une telle mesure, a été de nature à faire échouer l'entrevue, situation qui doit être assimilée à l'absence à un entretien. Les explications du recourant sur les raisons qui l'auraient poussé à interrompre l'entrevue ne permettent par ailleurs pas de justifier un tel comportement. La sanction infligée, à savoir une réduction du RI de 15% pendant deux mois, est ainsi justifiée dans son principe. Elle l'est également quant à sa quotité. Recours rejeté.</w:t>
      </w:r>
    </w:p>
    <w:p>
      <w:pPr>
        <w:pStyle w:val="Heading2"/>
      </w:pPr>
      <w:r>
        <w:t>Erwägungen</w:t>
      </w:r>
    </w:p>
    <w:p>
      <w:r>
        <w:rPr>
          <w:b/>
        </w:rPr>
        <w:t>E. 1</w:t>
      </w:r>
    </w:p>
    <w:p>
      <w:r>
        <w:t>Les prestations financières du RI sont réduites sans procédure d'avertissement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Il résulte des considérants qui précèdent que le recours doit être rejeté et la décision de l'autorité intimée maintenue. Le présent arrêt est rendu sans frais (art. 61 let. a de la loi fédérale du 6 octobre 2000 sur la partie générale du droit des assurances sociales – LPGA; RS 830.1 – 45 al. 1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