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PS.2010.0053 vom 1. Dezember 2010</w:t>
      </w:r>
    </w:p>
    <w:p>
      <w:r>
        <w:t>VD Tribunal cantonal, 2010-12-01, FR</w:t>
      </w:r>
    </w:p>
    <w:p>
      <w:r>
        <w:rPr>
          <w:b/>
        </w:rPr>
        <w:t xml:space="preserve">Quelle: </w:t>
      </w:r>
      <w:r>
        <w:t>https://mcp.opencaselaw.ch/entscheid/vd_omni_PS.2010.0053</w:t>
      </w:r>
    </w:p>
    <w:p>
      <w:r>
        <w:t>FR: VD_OMNI PS.2010.0053 du 1 décembre 2010</w:t>
      </w:r>
    </w:p>
    <w:p>
      <w:r>
        <w:t>IT: VD_OMNI PS.2010.0053 del 1 dicembre 2010</w:t>
      </w:r>
    </w:p>
    <w:p>
      <w:pPr>
        <w:pStyle w:val="Heading2"/>
      </w:pPr>
      <w:r>
        <w:t>Regeste</w:t>
      </w:r>
    </w:p>
    <w:p>
      <w:r>
        <w:t>A.X.________ /Service de prévoyance et d'aide sociales, Centre social régional d'Yverdon-Grandson | La décision demandant la restitution d'un montant indûment perçu à titre de prestations du RI et réduisant le forfait de 25 % pendant six mois à titre de sanction est mal fondée, l'autorité intimée n'ayant pas établi avec un degré de certitude suffisant que la recourante avait repris la vie commune avec son époux. Admission du recours et renvoi du dossier à l'autorité intimée pour complément d'instruction.</w:t>
      </w:r>
    </w:p>
    <w:p>
      <w:pPr>
        <w:pStyle w:val="Heading2"/>
      </w:pPr>
      <w:r>
        <w:t>Erwägungen</w:t>
      </w:r>
    </w:p>
    <w:p>
      <w:r>
        <w:rPr>
          <w:b/>
        </w:rPr>
        <w:t>E. 1</w:t>
      </w:r>
    </w:p>
    <w:p>
      <w:r>
        <w:t>L'autorité intimée a confirmé la décision de l'autorité concernée qui, au motif qu'elle avait repris la vie commune avec son mari entre les mois d'avril et d'août 2009, a demandé à la recourante la restitution de prestations versées indûment et lui a infligé une sanction. L'autorité se déclare convaincue de la réalité de cette reprise, nonobstant les déclarations contradictoires des époux. Pour sa part, la recourante dément la reprise de la vie commune. Elle expose avoir tenté une réconciliation avec son mari entre les mois d'avril et de juillet 2009. Selon ses affirmations, ce dernier se rendait au domicile conjugal afin de renouer le contact avec leurs enfants, mais résidait à l'hôtel. Dans la mesure où ils ne faisaient pas ménage commun, son mari ne subvenait pas aux besoins de la famille et la recourante avait besoin des prestations du RI. Elle soutient que son mari aurait prétendu avoir repris la vie commune pour lui causer du tort. a) aa)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qui comprend notamment l'octroi d'un revenu d'insertion (art. 1 LASV). Cette prestation financière est accordée après déduction des ressources du requérant, de son conjoint ou partenaire enregistré ou de la personne qui mène de fait une vie de couple avec lui et de ses enfants à sa charge (art. 31 al. 2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(art. 38 LASV et 29 du règlement du 26 octobre 2005 d'application de la LASV - RLASV; RSV 850.051.1). Les prestations de l'aide sociale sont en principe non remboursables (art. 60 de la Constitution du Canton de Vaud - Cst.-VD; RSV 101.01). Cela étant, la personne qui, dès la majorité, a obtenu des prestations du RI, y compris les frais particuliers ou aide exceptionnelles, est tenue au remboursement notamment lorsqu'elle les a obtenues indûment. Le bénéficiaire de bonne foi n'est tenu à restitution, totale ou partielle, que dans la mesure où il n'est pas mis de ce fait dans une situation difficile (art. 41 al. 1 let. a LASV). Pour être qualifiée d'indue, la prestation doit être dépourvue de cause légitime, ce qui sera le cas notamment lorsqu'elle a été effectuée sans cause valable, en vertu d'une cause qui ne s'est pas réalisée, ou d'une cause qui a cessé d'exister (cf. art. 62 du Code des obligations considéré comme une institution générale du droit, cf. ATF 78 I 86). Tel n'est pas le cas lorsque la prestation repose sur une décision entrée en force.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(André Grisel, Traité de droit administratif, vol. II, Neuchâtel 1984, p. 620). Lorsque l'illégitimité qui est invoquée réside dans l'illégalité (initiale ou subséquente) de la décision sur la base de laquelle le paiement a été effectué, l'administration doit préalablement révoquer ladite décision, dans le délai de prescription de l'action en répétition, et elle ne peut le faire qu'aux conditions restrictives auxquelles la jurisprudence autorise ladite révocation (Pierre Moor, Droit administratif, vol. II: Les actes administratifs et leur contrôle, 2 ème édition mise à jour et augmentée, Berne 2002, ch. 1.5.3 p. 148). En d'autres termes, une prestation accordée sur la base d'une décision formellement passée en force ne peut être répétée que lorsque les conditions qui président à la révocation, par son auteur, d'une décision administrative sont réalisées (cf. ATF 8C_719/2008 du 1 er avril 2009 consid. 3.1; arrêt PS.2010.0030 du 16 août 2010 consid. 1 pp. 3 s.).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Ib 152 consid. 3a p. 155). Tel n'est pas le cas de l'octroi du RI: une décision erronée peut être révoquée en tout temps par l'autorité d'application (art. 32 RLASV; cf. arrêt PS.2010.0030 du 16 août 2010 consid. 1b p. 4). bb) En matière administrative, les faits doivent en principe être établis d'office et, dans la mesure où l'on peut raisonnablement exiger de l'autorité qu'elle procède à cette recherche, les règles sur la répartition du fardeau de la preuve ne s'appliquent pas. Les parties sont toutefois tenues de collaborer à la constatation des faits dans une procédure qu'elles introduisent elles-mêmes. Il n'en demeure pas moins que, lorsque les preuves font défaut, ou si l'on ne peut raisonnablement exiger de l'autorité qu'elle les recueille, la règle de l'art. 8 du Code civil est applicable par analogie. Pour les faits constitutifs d'un droit, le fardeau de la preuve incombe au requérant. Ces principes doivent être appliqués conformément aux règles de la bonne foi (ATF 112 Ib 65 consid. 3 p. 67 et les références citées; cf. aussi arrêt PE.2008.0422 du 23 janvier 2009 consid. 2d p. 14 où le tribunal a retenu qu'il appartient en première ligne à l'étranger de prouver qu'il possède la nationalité dont il entend tirer un droit à une autorisation de séjour, non pas à l'autorité de démontrer qu'il ne dispose pas de cette nationalité). Par ailleurs, si la sanction infligée revêt un caractère pénal, il convient de lui appliquer les principes généraux en la matière tels que notamment la présomption d'innocence (cf. arrêt PE.2008.0502 du 29 juin 2009 consid. 2a p. 6). b) En l'espèce, l'autorité concernée a estimé avoir indûment versé des prestations du RI à la recourante entre les mois d'avril et de juillet 2009 au motif que celle-ci avait repris la vie commune avec son époux, lequel percevait un salaire supérieur au revenu défini par les normes RI. A son avis, la reprise de la vie commune est attestée par les affirmations du mari de la recourante, par la lettre que cette dernière a adressée au Tribunal d'arrondissement le 29 mai 2009 et par l'inscription figurant dans le fichier du Contrôle des habitants. Or, la recourante conteste formellement les propos de son mari. Elle expose avoir dû se rendre d'urgence dans son pays d'origine à cette époque et demandé à son mari de s'occuper de leur fille aînée. Ce dernier n'aurait toutefois passé que deux nuits au domicile de la recourante. Pour lui causer du tort, il aurait cependant annoncé sa nouvelle adresse au Contrôle des habitants. Par ailleurs, l'on ne peut inférer une reprise de la vie commune de la lettre adressée par la recourante au tribunal civil. En effet, celle-ci s'est limitée à informer le juge en charge de la cause en divorce de leur volonté de tenter une réconciliation. Dans ce contexte, il apparaît dès lors difficile d'établir avec un degré de certitude suffisant que la recourante et son époux ont bel et bien repris la vie commune pendant quatre mois en 2009. A ce propos, l'autorité concernée mentionne à juste titre l'existence d'un climat de conflit conjugal expliquant les déclarations contradictoires des protagonistes. Dans de telles circonstances, il apparaît délicat de fonder son appréciation sur des éléments aussi aléatoires que les déclarations, orales ou écrites, du mari de la recourante. S'agissant des autres éléments invoqués par l'autorité concernée pour justifier sa décision, tels que l'inscription dans le fichier du Contrôle des habitants ou les frais d'hôtel déduit du salaire du mari de la recourante en avril 2009, l'on relèvera qu'ils n'ont pas fait l'objet d'une instruction plus approfondie. Les informations contenues dans le dossier ne permettent pas de déterminer pour quelles raisons des frais d'hôtel ont été déduits de la fiche de salaire du mari de la recourante au mois d'avril 2009 ou si de tels frais avaient déjà été déduits de son salaire par le passé. La seule mention de frais d'hôtel sur une fiche de salaire ne permet pas de se déterminer sur la vie conjugale de l'employé en question. De plus, les autorités concernée et intimée n'ont pas non plus mené une enquête plus détaillée sur le suivi des inscriptions des époux au Contrôle des habitants ni sur la réalité, la durée ou les circonstances exactes du voyage que la recourante allègue avoir dû entreprendre pour retrouver son père malade dans son pays d'origine. Elles n'ont pas non plus procédé à d'autres actes d'instruction, tels que par exemple une enquête de voisinage ou l'audition de témoins. Il découle des considérations qui précèdent que les faits sur lesquels les autorités concernée et intimée se sont fondées pour justifier la demande de restitution des prestations du RI versées à la recourante entre les mois d'avril et de juillet 2009 n'ont pas été établis à satisfaction de droit et qu'une instruction complémentaire s'impose. Le recours doit ainsi être admis et la décision de remboursement de prestation du RI annulée, la cause étant renvoyée à l'autorité intimée pour complément d'instruction.</w:t>
      </w:r>
    </w:p>
    <w:p>
      <w:r>
        <w:rPr>
          <w:b/>
        </w:rPr>
        <w:t>E. 2</w:t>
      </w:r>
    </w:p>
    <w:p>
      <w:r>
        <w:t>Il en va de même de la sanction infligée à la recourante, à savoir une réduction de son forfait d'entretien de 25 % pour une durée de six mois, au motif qu'elle aurait caché la modification de la composition de son ménage. Dans la mesure où la réalité de ce fait n'a pas été prouvée, la décision attaquée doit également être annulée sur ce point, le dossier étant retourné à l'autorité intimée pour qu'elle procède à une instruction complémentaire.</w:t>
      </w:r>
    </w:p>
    <w:p>
      <w:r>
        <w:rPr>
          <w:b/>
        </w:rPr>
        <w:t>E. 3</w:t>
      </w:r>
    </w:p>
    <w:p>
      <w:r>
        <w:t>Les considérants qui précèdent conduisent à l'admission du recours et à l'annulation de la décision attaquée, la cause étant renvoyée à l'autorité intimée pour complément d'instruction et nouvelle décision. Les frais sont laissés à la charge de l'Etat. Il n'y a pas lieu d'allouer des dépens à la recourante qui a agi seule (art. 49,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