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PS.2010.0044 vom 26. Februar 2012</w:t>
      </w:r>
    </w:p>
    <w:p>
      <w:r>
        <w:t>VD Tribunal cantonal, 2012-02-26, FR</w:t>
      </w:r>
    </w:p>
    <w:p>
      <w:r>
        <w:rPr>
          <w:b/>
        </w:rPr>
        <w:t xml:space="preserve">Quelle: </w:t>
      </w:r>
      <w:r>
        <w:t>https://mcp.opencaselaw.ch/entscheid/vd_omni_PS.2010.0044</w:t>
      </w:r>
    </w:p>
    <w:p>
      <w:r>
        <w:t>FR: VD_OMNI PS.2010.0044 du 26 février 2012</w:t>
      </w:r>
    </w:p>
    <w:p>
      <w:r>
        <w:t>IT: VD_OMNI PS.2010.0044 del 26 febbraio 2012</w:t>
      </w:r>
    </w:p>
    <w:p>
      <w:pPr>
        <w:pStyle w:val="Heading2"/>
      </w:pPr>
      <w:r>
        <w:t>Regeste</w:t>
      </w:r>
    </w:p>
    <w:p>
      <w:r>
        <w:t>X.________ /Service de prévoyance et d'aide sociales, Centre social régional de Lausanne | Rejet du recours contre une décision portant sur le remboursement de l'aide sociale versée. Il est établi que le recourant a dissimulé aux services sociaux l'existence d'un compte bancaire sur lequel était déposé un montant de 40'000 francs.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27 de l’ancienne loi sur l'emploi et l'aide aux chômeurs du 25 septembre 1996 (ci-après : aLEAC), l'Etat crée un revenu minimum de réinsertion (RMR) dont peuvent bénéficier les personnes sans emploi en fin de droit, ou sans droit aux prestations de l'assurance-chômage (al. 1). Le RMR comprend un montant permettant au requérant de couvrir ses besoins vitaux et personnels indispensables, ainsi qu'un supplément indissociable correspondant à l'exécution d'un contrat de réinsertion; il comprend également des mesures destinées à favoriser la réinsertion professionnelle et sociale du requérant (al. 2). Lorsque toutes les conditions de forme requises pour l'octroi des prestations RMR sont remplies, le bénéficiaire doit encore s'engager à participer à sa réinsertion professionnelle et sociale (art. 39 aLEAC). Le RMR est accordé jusqu'à ce que le bénéficiaire retrouve une activité professionnelle, mais au plus tard pour une durée ne dépassant pas douze mois, prolongeable au plus pour une nouvelle période de douze mois (art. 48 aLEAC).</w:t>
      </w:r>
    </w:p>
    <w:p>
      <w:r>
        <w:rPr>
          <w:b/>
        </w:rPr>
        <w:t>E. 3</w:t>
      </w:r>
    </w:p>
    <w:p>
      <w:r>
        <w:t>b) L'art. 49 al. 1 aLEAC dispose que la violation des obligations liées à l'octroi de prestations RMR peut donner lieu à leur suppression et à la restitution des sommes perçues indûment, avec intérêt et frais. L'art. 39 al. 2 aREAC précise que la suppression avec rétrocession des montants indûment touchés est prononcée lorsque le bénéficiaire dissimule l'exercice d'une activité lucrative ou ne signale pas des éléments de revenu ou de fortune qui dépassent les limites permettant de bénéficier du RMR, ou qui modifient de manière significative le montant des prestations allouées. Selon l’article 16 aREAC, la limite de fortune admissible pour une personne seule permettant d’ouvrir le droit au RMR s’élevait à 25'000 francs.</w:t>
      </w:r>
    </w:p>
    <w:p>
      <w:r>
        <w:rPr>
          <w:b/>
        </w:rPr>
        <w:t>E. 4</w:t>
      </w:r>
    </w:p>
    <w:p>
      <w:r>
        <w:t>a) La loi du 2 décembre 2003 sur l'action sociale vaudoise (LASV; RSV 850.051) a pour but de venir en aide aux personnes ayant des difficultés sociales ou dépourvues des moyens nécessaires à la satisfaction de leurs besoins indispensables (art. 1 al. 1 LASV). Elle règle l'action sociale cantonale, qui s'étend à la prévention, à l’appui social et au RI (art. 1 al. 2 LASV). Selon l'art. 27 LASV, le RI comprend une prestation financière à laquelle peuvent, cas échéant, également s'ajouter des prestations sous forme de mesures d'insertion sociale ou professionnelle. La prestation financière du RI est subsidiaire à l’entretien prodigué par la famille à ses membres et aux autres prestations sociales ou privées (art. 3 LASV). Elle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 1 et 2 LASV). L’importance et la durée de la prestation dépendent de la situation particulière du bénéficiaire (art. 36 LASV).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Cette disposition est précisée par l'art. 29 RLASV qui prévoit que chaque membre du ménage aidé ou son représentant légal doit déclarer sans délai à l'autorité d'application tout fait nouveau de nature à modifier le montant des prestations allouées ou à justifier leur suppression. L'art. 41 al. 1 let. a LASV institue une obligation de rembourser en ces termes: Art. 41 - Obligation de rembourser 1 La personne qui, dès la majorité, a obtenu des prestations du RI, y compris les frais particuliers ou aides exceptionnelles, est tenue au remboursement: a. lorsqu'elle les a obtenues indûment; le bénéficiaire de bonne foi n'est tenu à restitution, totale ou partielle, que dans la mesure où il n'est pas mis de ce fait dans une situation difficile; […]</w:t>
      </w:r>
    </w:p>
    <w:p>
      <w:r>
        <w:rPr>
          <w:b/>
        </w:rPr>
        <w:t>E. 5</w:t>
      </w:r>
    </w:p>
    <w:p>
      <w:r>
        <w:t>En l’espèce, il n’est pas douteux que le recourant disposait d’un avoir déposé sur un compte en banque d’un montant de 40'000 fr. au moment du dépôt de sa demande tendant à l’octroi du RMR, et que l’existence de ce compte n’a été découverte qu’en octobre 2008. Il y’a dès lors lieu de constater que la fortune du recourant dépassait, au moment de la décision d’octroi du RMR, de 15'000 fr. le maximum autorisé.  Il n’est pas plus contesté que, en octobre 2003, le recourant s’est vu crédité d’un montant de 5'000 francs, ce qui justifie le principe d’un remboursement du montant perçu ce mois au titre du RMR, soit 1'974 fr. 75.</w:t>
      </w:r>
    </w:p>
    <w:p>
      <w:r>
        <w:rPr>
          <w:b/>
        </w:rPr>
        <w:t>E. 6</w:t>
      </w:r>
    </w:p>
    <w:p>
      <w:r>
        <w:t>Il résulte de ce qui précède que le recourant doit effectivement restituer un montant de 16'974 fr. 75 fr., cette obligation de rembourser résultant aussi bien de la LEAC (art. 49 et 50) que de la LASV (art. 41 let. a). Plus précisément, cette obligation de restitution se fonde sur l'art. 41 let. a LASV dès lors que, selon l'art. 77 LASV, les violations de leurs obligations par les bénéficiaires du RMR ou de l'aide sociale vaudoise découvertes après l'entrée en vigueur de la LASV doivent être poursuivies conformément aux art. 41 let. a et 45 LASV. L'art. 38 LASV prévoit, à charge de la personne qui sollicite une aide financière, une obligation de renseigner. Les alinéas 1 et 2 de cette disposition ont la teneur suivante: " 1 La personne qui sollicite une prestation financière ou qui en bénéficie déjà fournit des renseignements complets sur sa situation personnelle et financière. 2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 L'art. 38 LASV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 Droit administratif, vol. II, 3 e éd., Berne 2011, ch. 2.2.6.3 p. 294 s., et les références; CDAP, arrêts PS.2010.0027 du 11 octobre 2010 consid. 1c; PS.2007.0165 du 3 septembre 2008 consid. 2c; Tribunal administratif, arrêts PS.2005.0274 du 3 août 2006; PS.2005.0176 du 22 décembre 2005; PS.2001.0017 du 25 juin 2001, confirmé par un arrêt du Tribunal fédéral des assurances du 19 février 2002 dans la cause C. 219/01). L’autorité sera ainsi amenée cas échéant à considérer que l’intéressé n’a pas prouvé qu’il était dépourvu des moyens nécessaires pour satisfaire ses besoins vitaux et à prononcer une décision de suspension ou de suppression des prestations (arrêts PS.2010.0027 du 11 octobre 2010; PS.2008.0027 du 12 décembre 2008; PS.2008.0032 du 25 août 2008; PS.2007.0006 du 21 janvier 2008). L'art. 45 LASV prévoit également que "la violation par le bénéficiaire des obligations liées à l'octroi des prestations financières, intentionnelle ou par négligence, peut donner lieu à une réduction, voire à la suppression de l'aide". De plus, en lien avec l'obligation de renseigner prévue à l'art. 38 LASV, le RLASV retient à son art. 43 ce qui suit: " Après un avertissement écrit et motivé, l'autorité d'application peut réduire, cas échéant supprimer le RI, lorsque le bénéficiaire omet, refuse de fournir ou tarde à remettre les renseignements ou documents demandés dans le délai imparti. "</w:t>
      </w:r>
    </w:p>
    <w:p>
      <w:r>
        <w:rPr>
          <w:b/>
        </w:rPr>
        <w:t>E. 7</w:t>
      </w:r>
    </w:p>
    <w:p>
      <w:r>
        <w:t>c) En l'espèce, la violation par le recourant de l'obligation de renseigner prévue à l'art. 38 LASV ne fait aucun doute, et ses explications alambiquées ne permettent pas de conclure qu’il aurait, de bonne foi, pu omettre de signaler l’existence de sa fortune et du revenu réalisé en octobre 2003. Le montant dissimulé est d’une certaine importance, et, ainsi, dans ces conditions, la sanction retenue par l'autorité intimée, est conforme à l'art. 45 LASV.</w:t>
      </w:r>
    </w:p>
    <w:p>
      <w:r>
        <w:rPr>
          <w:b/>
        </w:rPr>
        <w:t>E. 8</w:t>
      </w:r>
    </w:p>
    <w:p>
      <w:r>
        <w:t>Dans ces circonstances, le recours doit être rejeté et la décision attaquée confirmée. La procédure est gratuite, conformément à l'art. 4 al. 2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