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PS.2010.0016 vom 16. August 2010</w:t>
      </w:r>
    </w:p>
    <w:p>
      <w:r>
        <w:t>VD Tribunal cantonal, 2010-08-16, FR</w:t>
      </w:r>
    </w:p>
    <w:p>
      <w:r>
        <w:rPr>
          <w:b/>
        </w:rPr>
        <w:t xml:space="preserve">Quelle: </w:t>
      </w:r>
      <w:r>
        <w:t>https://mcp.opencaselaw.ch/entscheid/vd_omni_PS.2010.0016</w:t>
      </w:r>
    </w:p>
    <w:p>
      <w:r>
        <w:t>FR: VD_OMNI PS.2010.0016 du 16 août 2010</w:t>
      </w:r>
    </w:p>
    <w:p>
      <w:r>
        <w:t>IT: VD_OMNI PS.2010.0016 del 16 agosto 2010</w:t>
      </w:r>
    </w:p>
    <w:p>
      <w:pPr>
        <w:pStyle w:val="Heading2"/>
      </w:pPr>
      <w:r>
        <w:t>Regeste</w:t>
      </w:r>
    </w:p>
    <w:p>
      <w:r>
        <w:t>X.________/Service de prévoyance et d'aide sociales, Centre social régional de l'Est lausannois-Oron-Lavaux | C'est à juste titre que l'autorité administrative a refusé de prolonger le versement complet du RI après neuf mois à un requérant qui envisage de développer une activité indépendante. Le but de l'aide sociale n'est pas de financer pendant une longue période un projet de création d'entreprise, quand bien même celui-ci peut être de qualité, ni en principe de le subventionner, en tous les cas à long terme.</w:t>
      </w:r>
    </w:p>
    <w:p>
      <w:pPr>
        <w:pStyle w:val="Heading2"/>
      </w:pPr>
      <w:r>
        <w:t>Erwägungen</w:t>
      </w:r>
    </w:p>
    <w:p>
      <w:r>
        <w:rPr>
          <w:b/>
        </w:rPr>
        <w:t>E. 1</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revenu d’insertion (art. 1 al. 2).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(cf. art. 24 et 25 LASV). Enfin, l’action sociale comporte l’octroi d’un revenu d’insertion (RI) qui comprend une prestation financière et peut comprendre également des mesures d’insertion sociale ou professionnelle (art. 27 al. 1 LASV). La prestation financière est composée d’un montant forfaitaire et d’un supplément correspondant au loyer effectif dans les limites fixées par le règlement (art. 31 al. 1 LASV). Elle est accordée dans les limites d’un barème établi par le règlement, après déduction des ressources du requérant, de son conjoint ou concubin faisant ménage commun avec lui, et de ses enfants à charge (art. 31 al. 2 LASV). Selon l’art. 36 LASV, la prestation financière, dont l’importance et la durée dépendent de la situation particulière du bénéficiaire, est versée complètement ou en complément de revenu, ou encore, à titre d’avance remboursable sur des prestations d’assurances sociales ou payée d’avance sur pensions alimentaires. La personne au bénéfice d'une aide doit collaborer avec l'autorité d'application et doit tout mettre en oeuvre afin de retrouver son autonomie (art. 40 LASV).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ou pour limiter sa prise en charge peuvent donner lieu à une réduction des prestations financières (art. 45 LASV). L’art. 44 al. 1 RLASV précise qu’après un avertissement écrit et motivé, l'autorité d'application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b) L'art. 21 RLASV prévoit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(DSAS) a édicté sous le titre " Complément indispensable à l'application de la loi sur l'action sociale vaudoise/LASV et son règlement d'application/RLASV " des directives relatives au revenu d’insertion (normes RI). Le chiffre 7.4 (normes RI 2009 en vigueur dès le 1 er février 2009, qui reprend le chiffre 9 des norme RI 2008, et dont la teneur est identique à celles des normes RI 2010 en vigueur dès le 1 er février 2010) traitant des activités indépendantes est libellé comme suit: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[Autorité d’application] veillera en outre à identifier et ressortir toute dépense privée contenue dans les comptes (voitures, frais de représentation, téléphones, etc…). Après 6 mois d'aide, les indépendants n'ont en principe plus droit à des aides (art. 21 RLASV). Si la situation de l'entreprise ne s'est pas péjorée ou si une orientation du bénéficiaire vers un ORP ne se justifie pas, les directions des AA peuvent octroyer une aide supplémentaire de six mois. Après une année d'aide au maximum, les demandes seront adressées à la section AIS selon la procédure des aides exceptionnelles. Outre les documents usuels pour ce genre de demande, les autorités d'application établiront un rapport succinct qui, notamment, traitera la situation familiale et sociale, le motif de l'intervention, les revenus pris en considération depuis le début de l'aide et les perspectives de l'activité. (…)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Lorsque le requérant du RI entreprend ou maintient l'exercice d'une activité indépendante sans que les conditions prévues par le RLASV et les présentes normes ne soient réunies, l'AA réduit l'aide, après avertissement, au noyau intangible. (…)."</w:t>
      </w:r>
    </w:p>
    <w:p>
      <w:r>
        <w:rPr>
          <w:b/>
        </w:rPr>
        <w:t>E. 2</w:t>
      </w:r>
    </w:p>
    <w:p>
      <w:r>
        <w:t>a) En l’occurrence, on se trouve dans une situation différente de celle visée par l’art. 21 RLASV puisque le recourant n’a pas encore commencé son activité indépendante. Il n’est ainsi pas possible de vérifier, sur la base des critères fixés l’art. 21 al. 3 RLASV, si la condition relative à la viabilité de l’entreprise est remplie. De fait, le recourant se trouve dans la situation du requérant qui souhaite développer une activité à titre d’indépendant, hypothèse qui n’est envisagée que par les normes RI. On a vu que, en se fondant sur la jurisprudence du Tribunal administratif (arrêts PS 2002.0115 et PS.2004.0139), ces dernières prévoient, en particulier pour une personne qui éprouve de très grandes difficultés à être placée dans le marché du travail, qu’une intervention du RI n’est pas exclue mais qu’il faut se montrer très restrictif. La question du versement de prestations d’aide sociale à une personne qui envisage de développer une activité indépendante a été principalement examinée dans un arrêt du 29 août 2002 (PS.2002.0070). A cette occasion, le Tribunal administratif a constaté que la pratique paraissait plus large s'agissant de l'aide fournie à des indépendants afin de passer le cap d'une situation transitoire difficile, que dans l'hypothèse d'une création d'entreprise; dans cette seconde hypothèse, une attitude restrictive, voire très restrictive était recommandée (consid. 2 b p.</w:t>
      </w:r>
    </w:p>
    <w:p>
      <w:r>
        <w:rPr>
          <w:b/>
        </w:rPr>
        <w:t>E. 4</w:t>
      </w:r>
    </w:p>
    <w:p>
      <w:r>
        <w:t>Le recourant se plaint de n’avoir une allocation de RI que de 850 fr. et non de 1'100 fr. par mois. En procédure contentieuse, l'objet du litige  est défini par trois éléments: l'objet du recours, les conclusions du recours et les motifs de celui-ci. En vertu du principe de l'unité de la procédure, l'autorité de recours ne peut statuer que sur des points que l'autorité inférieure a déjà examinés et elle n’entre pas en matière sur des conclusions qui vont au-delà de l’objet du litige qui lui est soumis (ATF 134 V 418 consid. 5.2.1 p. 426; GE.2004.0039 du 28 janvier 2005 consid. 2). En l’occurrence, la décision attaquée porte sur la prolongation du versement du RI dans l’hypothèse où le recourant devait poursuivre son projet d’activité indépendante et non pas sur le montant qui lui est versé à ce titre. Il n’y a dès lors pas lieu d’examiner ce grief plus avant puisque ce dernier sort de l’objet du litige.</w:t>
      </w:r>
    </w:p>
    <w:p>
      <w:r>
        <w:rPr>
          <w:b/>
        </w:rPr>
        <w:t>E. 5</w:t>
      </w:r>
    </w:p>
    <w:p>
      <w:r>
        <w:t>Le recourant «s’étonne» de s’être vu notifier une décision du CSR datée du 10 décembre 2009 lui signifiant la fin de ses prestations du RI au 31 novembre 2009 (recte: 30 novembre 2009). Ce grief est sans objet, dans la mesure où le SPAS a annulé la décision du CSR du 10 décembre 2009.</w:t>
      </w:r>
    </w:p>
    <w:p>
      <w:r>
        <w:rPr>
          <w:b/>
        </w:rPr>
        <w:t>E. 6</w:t>
      </w:r>
    </w:p>
    <w:p>
      <w:r>
        <w:t>Vu ce qui précède, le recours, mal fondé, doit être rejeté.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