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PS.2009.0052 vom 16. Februar 2010</w:t>
      </w:r>
    </w:p>
    <w:p>
      <w:r>
        <w:t>VD Tribunal cantonal, 2010-02-16, FR</w:t>
      </w:r>
    </w:p>
    <w:p>
      <w:r>
        <w:rPr>
          <w:b/>
        </w:rPr>
        <w:t xml:space="preserve">Quelle: </w:t>
      </w:r>
      <w:r>
        <w:t>https://mcp.opencaselaw.ch/entscheid/vd_omni_PS.2009.0052</w:t>
      </w:r>
    </w:p>
    <w:p>
      <w:r>
        <w:t>FR: VD_OMNI PS.2009.0052 du 16 février 2010</w:t>
      </w:r>
    </w:p>
    <w:p>
      <w:r>
        <w:t>IT: VD_OMNI PS.2009.0052 del 16 febbraio 2010</w:t>
      </w:r>
    </w:p>
    <w:p>
      <w:pPr>
        <w:pStyle w:val="Heading2"/>
      </w:pPr>
      <w:r>
        <w:t>Regeste</w:t>
      </w:r>
    </w:p>
    <w:p>
      <w:r>
        <w:t>X.________ c/Instance juridique chômage Service de l'emploi, Office régional de placement de l'Ouest Lausannois ORPOL, Centre social régional de l'Ouest-Lausannois | Confirmation de la réduction du forfait d'entretien de 15%, mais réduction de la durée de la réduction de quatre à deux mois, à l'égard d'un bénéficiaire du RI ayant refusé, sans raison valable, de suivre une mesure d'insertion professionnelle. La faute commise, consistant à ne pas se soumettre à une mesure d'insertion professionelle, n'est en soi pas négligeable; elle ne représente en l'occurrence que le premier manquement de ce type du recourant dpuis son inscription comme demandeur d'emploi en été 2006. Recours partiellement admis.</w:t>
      </w:r>
    </w:p>
    <w:p>
      <w:pPr>
        <w:pStyle w:val="Heading2"/>
      </w:pPr>
      <w:r>
        <w:t>Erwägungen</w:t>
      </w:r>
    </w:p>
    <w:p>
      <w:r>
        <w:rPr>
          <w:b/>
        </w:rPr>
        <w:t>E. 1</w:t>
      </w:r>
    </w:p>
    <w:p>
      <w:r>
        <w:t>a) L'art. 13 de la loi vaudoise sur 5 juillet 2005 sur l'emploi (LEmp; RSV 822.11) prévoit que les ORP [offices régionaux de placement]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b) Par novelle du 1 er juillet 2008 modifiant la LEmp, entrée en vigueur le 1 er novembre 2008, le législateur a introduit diverses dispositions visant notamment à transférer, de l'autorité d'application du revenu d'insertion (RI) aux ORP, la compétence de sanctionner les demandeurs d'emploi bénéficiant du RI en cas de violation de leurs devoirs dans le cadre de leur suivi professionnel. L'exposé du Conseil d'Etat des motifs et projets de lois modifiant la LEmp, daté de février 2008, précise à cet égard: "Il convient de modifier la LEmp dans ce sens en introduisant, d'une part, le principe qui fixe les obligations élémentaires qui incombent aux demandeurs d'emploi dans le cadre du suivi par l'ORP - à savoir, par exemple, rechercher un emploi, accepter les emplois proposés, participer aux entretiens de conseil, etc. - et d'autre part, le principe de la sanction, par la réduction des prestations financières du bénéficiaire en cas de violation de ses devoirs. Jusqu'alors, lorsqu'un demandeur d'emploi ne respectait pas ses obligations vis-à-vis de l'ORP, ce dernier en informait (...) l'autorité d'application du RI compétente, à charge pour elle d'examiner le cas et de rendre une décision de réduction des prestations financières du bénéficiaire. Dès la mise en oeuvre de cette nouvelle procédure, lorsque les ORP constateront une violation des devoirs par les bénéficiaires RI, ils procéderont - comme d'ailleurs pour tout demandeur d'emploi pris en charge dans le cadre de la LACI - à l'examen du cas et ils prononceront eux-mêmes les décisions de réduction des prestations financières." Ainsi, selon l'art. 13 al. 3 let. b LEmp, introduit par ladite novelle, les ORP assurent désormais la prise en charge des demandeurs d'emploi au bénéfice du RI et, dans ce cadre, rendent les décisions sanctionnant les bénéficiaires qui ne respectent pas leurs devoirs. c) De même, le nouvel 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(al. 2  let. a), de participer aux entretiens de conseil et de contrôle, ainsi qu'aux réunions d'information (al. 2 let. b), de fournir les renseignements et documents permettant de juger s'ils sont aptes au placement ou si le travail proposé est convenable (al. 2 let. c). L’art. 24 LEmp prévoit que les mesures cantonales d’insertion professionnelles visent à améliorer l’aptitude au placement des demandeurs d’emploi et à favoriser le retour en emploi par des activités qualifiantes servant la concrétisation d’un projet professionnel réaliste. Elles sont octroyées selon les mêmes critères que les mesures du marché du travail prévues par la LACI (art. 24 al. 2 LEmp).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 arrêt PS.2009.0024 du 8 octobre 2009 ).</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 c)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"JEM" (Jusqu'à l'Emploi), la CDAP a fixé la réduction du forfait (LASV) à 15% pendant deux mois. Il ne s'agissait pas d'une faute grave (PS.2008.0057 du 1 er décembre 2008). d) En l'espèce, la sanction infligée au recourant consiste en une réduction de son forfait mensuel d’entretien de 15% pendant quatre mois. Il convient d’examiner si cette quotité est justifiée, le principe de la proportionnalité exigeant à cet égard que la sanction infligée soit adaptée à la faute commise, d’une part, et aux circonstances de l’espèce, d’autre part. Le taux de réduction de 15%, qui laisse subsister une somme de 10% supérieure au noyau intangible, n'apparaît pas disproportionné. Il correspond du reste au minimum prévu par l'art. 12 b RLEmp (ainsi que par l'art. 44 RLASV détaillant la réduction des prestations sanctionnant les personnes soumises exclusivement à la LASV). S'agissant ensuite de la durée de la réduction, de quatre mois - soit de deux mois supérieur au minimum réglementaire -, elle s’avère en revanche excessive. Si la faute consistant à ne pas se soumettre à une mesure d’insertion professionnelle n’est en soi pas négligeable, elle représente cependant le premier manquement du recourant depuis son inscription comme demandeur d’emploi en été 2006. Compte tenu de ces circonstances, une réduction de 15 % du forfait mensuel pour une période de deux mois, correspondant au minimum prévu par l’art. 12 al. 3 RLEmp s’avère adéquate.</w:t>
      </w:r>
    </w:p>
    <w:p>
      <w:r>
        <w:rPr>
          <w:b/>
        </w:rPr>
        <w:t>E. 4</w:t>
      </w:r>
    </w:p>
    <w:p>
      <w:r>
        <w:t>a) Les mesures contonales d’insertion professionnelles sont prévues aux art. 24 ss LEmp en ces termes : " Art. 24   Buts 1 Les mesures cantonales d'insertion professionnelle visent à améliorer l'aptitude au placement des demandeurs d'emploi et à favoriser le retour en emploi par des activités qualifiantes servant la concrétisation d'un projet professionnel réaliste . 2 Elles sont octroyées selon les mêmes critères que les mesures du marché du travail prévues par la LACI . Art. 25    Ayants droit 1 Peuvent bénéficier des mesures cantonales d'insertion professionnelle, les demandeurs d'emploi qui : a. sont de nationalité suisse ou étrangère au bénéfice d'une autorisation de séjour permettant d'exercer une activité lucrative; b. sont domiciliés dans le canton; c. n'ont pas ou plus droit aux indemnités LACI; d. sont bénéficiaires du RI (art. 27 et ss LASV); e. ont inscrits auprès d'un ORP; f. ne peuvent pas être assignés à un emploi convenable; g. sont aptes au placement; h. se conforment aux prescriptions de contrôle des offices régionaux de placement. 2 (…). 3 (…). Art. 26    Mesures cantonales d'insertion professionnelle Sont considérées comme mesures cantonales d'insertion professionnelle : a. les stages professionnels cantonaux; b. les allocations cantonales d'initiation au travail; c. les prestations cantonales de formation; d. le soutien à la prise d'activité indépendante; e. les allocations cantonales à l'engagement; f. les emplois d'insertion . 2 Le Conseil d'Etat peut mettre sur pied, sous forme d'expérience pilote, d'autres mesures propres à favoriser l'insertion professionnelle des demandeurs d'emploi. (…) Art. 30    Prestations cantonales de formation 1 Les prestations cantonales de formation comprennent : a. des cours dispensés par des instituts agréés par le Service; b. des stages dans les entreprises d'entraînement du canton; c. des mesures visant la clarification des aptitudes professionnelles. 2 Les prestations cantonales de formation incluent la prise en charge des frais indispensables liés à l'écolage et le matériel de cours. Les frais sont remboursés directement à l'institut. » b) Dans le cas présent, le recourant soutient que son conseiller lui aurait laissé le choix quant à l’organisateur de la mesure d’insertion professionnelle. Il se réfère à cet égard aux documents qui lui auraient été remis lors de l’entretien du 5 mars 2009 concernant diverses structures au sein desquelles il aurait pu accomplir la mesure en question (Atelier 36, cafétéria 36, Solidarité Jouets, SIC et Textura). Il ressort effectivement du procès-verbal d’entretien du 5 mars 2009 que, dans un premier temps, le choix entre diverses mesures a été laissé au recourant qui devait se déterminer dans un délai échéant le 13 mars 2009, mais qu’en raison des exigences de l’intéressé (demande de confirmation écrite et d’un délai de réflexion de 30 jours), le conseiller a décidé de l’assigner d’office et de ne pas lui laisser le choix du lieu. Si l’on peut certes regretter l’apparente dégradation du climat de l’entretien du 5 mars 2009, il n’en reste pas moins que l’ORP a finalement renoncé à accorder au recourant le choix de la mesure en l’assignant auprès de la Coopérative Textura. Or aucune dispositions légale ni réglementaire de donnent à l’assuré le droit de choisir librement la mesure d’insertion professionnelle qu’il préfère. c) La formule du SDE « Transition – Emploi Descriptif » a le contenu suivant : « Définition La mesure Transition-Emploi est créée pour répondre à un besoin relayé par les ORP. Elle s’adresse à des personnes au bénéfice du RI qui sont adressées par le CSR à l’ORP après une période d’éloignement du marché de l’emploi. Celle mesure a la particularité d’intervenir dès l’inscription à l’ORP, elle doit permettre la transition du suivi social vers le professionnel. Apres une première phase pilote réalisée au printemps 2007 sur la région lausannoise, la mesure est étendue à tous les ORF du canton. Transition-Emploi est une mesure cantonale d’insertion professionnelle organisée sous la forme d’un cours. Elle est octroyée par l’ORP. Objectifs L’objectif de cette mesure est d’évaluer la disponibilité des participants et d’initier une dynamique d’insertion professionnelle Elle vise plus précisément à : - reprendre progressivement contact avec le monde du travail; - valider ou invalider la motivation et la disponibilité du participant; - valider ou invalider une démarche d’insertion professionnelle. Profil des participants Bénéficiaire du RI social par le CSR et nouvellement inscrit en tant que demandeur d’emploi à l’ORP. Dans un deuxième temps, la mesure pourra être proposée à tout bénéficiaire du RI professionnel suivi par l’ORP depuis plus de 12 mois et qui n’a bénéficié d’aucune MMT ou MIP durant cette période. Caractéristiques de la mesure Activités: Les participants sont placés dans les postes existants, ils peuvent participer aux formations intégrées y relatives et aux ateliers de recherche d’emploi. Durée : 4 mois non renouvelables. Taux : Le taux de participation hebdomadaire est progressif, il est réparti sur la semaine à raison de 50% le 1er mois, 80% le deuxième et 100% les troisième et quatrième. Pour les personnes qui cherchent une activité à temps partiel, la progression du taux d’activité est proportionnelle. Une présence minimale de 40°/ est requise, en dessous, une demande exceptionnelle est adressée au SDE. Organisateurs et structures d’accueil: - Coopérative Textura (Lausanne) - Atelier Payerne / Mode d’Emploi - Cafétéria de Sévelin 36 (Lausanne) I ETSL - SIC - Service d’intendance et conciergerie (Lausanne)/ ETSL - Solidarités Jouets (Lausanne)! ETSL - Textura — Chablais /Textura - Atelier 36 / ETSL Le bénéficiaire RI est orienté automatiquement vers un des organisateurs selon la proximité géographique des programmes. Pour les bénéficiaires RI nouvellement orientés à l’ORP, cette mesure est octroyée par le conseiller ORP dès l’inscription, avant tout autre entretien. Pendant la mesure, il n’y a pas de droits aux vacances autres que les périodes de fermeture de l’institution. Non cumulable avec une autre mesure cantonale d’insertion professionnelle. Une participation aux frais de repas et de transport est à examiner, au cas par cas, par le CSR compétent . La participation à Transition-Emploi n’empêche pas l’accès ultérieur à un El ou à toute autre mesure. Obligations du participant Respecter les conditions de participation et mettre tout en oeuvre pour atteindre les objectifs fixés d’un commun accord avec l’organisateur du programme. » Il ressort clairement de ce document que si le bénéficiaire du RI social adressé à l’ORP par le CSR et nouvellement inscrit en tant que demandeur d’emploi correspond au premier profil des participants à la mesure en question, celle-ci peut, dans un second temps, être proposée à tout bénéficiaire du RI professionnel suivi par l’ORP depuis plus de 12 mois et qui n’a bénéficié d’aucune MMT ou MIP durant cette période. En l’espèce, le recourant remplit les conditions de cette catégorie de bénéficiaires (RI professionnel octroyé depuis 2007, respectivement depuis juillet 2006 avec une interruption en avril et mai 2007). Il devait par conséquent respecter la décision de l’ORP, auquel appartient la compétence d’apprécier l’adéquation de la mesure aux compétences du demandeur d’emploi. Dès lors, le recourant n’a pas respecté les exigences de l’art. 23 al. 2 let a LEmp. Cela signifie qu’il encourt une sanction sous forme d'une réduction des prestations financières du RI (art. 12b al. 2 RLEmp). La sanction infligée est ainsi justifiée dans son principe.</w:t>
      </w:r>
    </w:p>
    <w:p>
      <w:r>
        <w:rPr>
          <w:b/>
        </w:rPr>
        <w:t>E. 5</w:t>
      </w:r>
    </w:p>
    <w:p>
      <w:r>
        <w:t>Il reste à examiner la quotité de la sanction prononcée, à savoir une réduction du forfait de 15% pendant trois mois. a) 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Cette règle fonde une prétention à des prestations positives de la part de l'Etat (arrêt du Tribunal administratif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 Le tribunal de céans a précisé dans un arrêt déjà ancien les conditions à observer en cas de sanctions, suppressions ou diminutions de l’aide sociale (PS.1994.0263 du 14 septembre 1994, consid. 1). Il s’est exprimé en ces termes: "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Les normes d'avril 2005 (4 ème édition, complétées en dernier lieu en 2008) de la Conférence suisse des institutions d'action sociale (ci-après: CSIAS), tentent de préciser dans une certaine mesure la portée du principe de proportionnalité en cette matière. Elles indiquent notamment (ch. A.8.3): "A titre de sanction et en tenant compte du principe de la proportionnalité, les prestations circonstancielles peuvent être réduites. En plus, le forfait pour l'entretien peut être réduit de 15% au maximum pour une durée maximale de 12 mois. Enfin, il faut tenir compte de manière appropriée de l'absence de toute faute de la part du bénéficiaire. Des réductions supplémentaires constituent une atteinte au droit constitutionnel garantissant des conditions minimales d'existence. Elles ne sont donc pas admissibles. Le principe de la proportionnalité implique une sanction différenciée, tant pour le montant que pour la durée de la réduction, en fonction de la faute commise ou du dommage causé par le bénéficiaire. La sanction peut être prolongée de 12 mois supplémentaires si les raisons à l'origine de la réduction sont toujours valables et qu'une nouvelle décision est notifiée à cet effet." Selon Charlotte Gysin (Der Schutz des Existenzminimums in der Schweiz, Bâle 1999, p. 128 ss), dont l'avis portait sur les normes précédentes, mais peut être transposé aux plus récentes, ces normes concrétisent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Ces principes doivent être appliqués également aux bénéficiaires du RI qui sont demandeurs d'emploi, dès lors que le forfait alloué est le même pour eux que pour ceux qui sont soumis exclusivement à la LASV. b) Aux termes de l'art. 27 LASV, le RI comprend notamment une prestation financière et peut, cas échéant, également comporter des prestations sous forme de mesures d'insertion sociale ou professionnelle. L'art. 31 LASV dispose que la prestation financière est composée d'un montant forfaitaire et d'un supplément correspondant au loyer effectif dans les limites fixées par le règlement (al. 1). La prestation financière est accordée dans les limites d'un barème établi par le règlement (al. 2). L'art. 22 RLASV dispose à ce propos: Art. 22 Prestations financières (Art. 31 LASV) 1 Un barème des normes fixant les montants maximums pouvant être alloués aux bénéficiaires du RI est annexé au présent règlement. Ce barème comprend les postes suivants: a.   le forfait pour l'entretien et l'intégration sociale adapté à la taille du ménage; b.   les frais de logement plafonnés, charges en sus. 2 Peuvent en outre être alloués: a.   les frais médicaux de base lorsque, exceptionnellement, le bénéficiaire n'est pas couvert par l'assurance-maladie obligatoire selon la LAMal; b.   les franchises et participations aux soins médicaux. Selon le barème RI annexé au RLASV, le forfait "entretien et intégration sociale" s'élève à 1'110 fr. pour une personne. Par ailleurs, le Service de prévoyance et d'aide sociales a édité le 1 er février 2009 des directives intitulées "Revenu d’insertion (RI) Normes 2009, Complément indispensable à l’application de la loi sur l’action sociale vaudoise/LASV et son règlement d’application/RLASV", dont on extrait le passage suivant:</w:t>
      </w:r>
    </w:p>
    <w:p>
      <w:r>
        <w:rPr>
          <w:b/>
        </w:rPr>
        <w:t>E. 6</w:t>
      </w:r>
    </w:p>
    <w:p>
      <w:r>
        <w:t>Le recourant conclut enfin à pouvoir changer de conseiller ORP . Il invoque à cet égard l’existence de difficultés relationnelles avec Y.________ qui a remplacé sa première conseillère, avec laquelle il avait déjà rencontré de tels problèmes. Dans son courrier du 12 mars 2009, le chef de l’ORP a refusé le changement requis au motif qu’un autre problème, tenant peut-être au comportement du recourant, expliquait les difficultés invoquées. Ce refus ne constituait pas une décision au sens de l’art. 3 LPA-VD. Selon le principe général qu'on retrouve aussi bien à l'ancien art. 29 LJPA qu'à l'art. 3 LPA-VD ou encore à l'art. 5 de la loi fédérale sur la procédure administrative du 20 décembre 1968 (RS 172.021), constitue en effet une décision toute mesure prise par une autorité dans un cas d'espèce qui a pour objet de créer, de modifier ou d'annuler des droits et obligations, ou de les constater. Or en l'espèce, le refus de l’ORP d’accéder à la demande de l’intéressé n'affecte pas ce dernier dans sa situation juridique, mais représente une mesure d’organisation purement interne de l’ORP. Ainsi, ce refus n'est pas une décision sujette à recours, ( sur la notion de décision, B. Bovay, Procédure administrative, Berne 2000, p. 261 + réf.cit.). La conclusion du recourant est dès lors irrecevable sur ce point.</w:t>
      </w:r>
    </w:p>
    <w:p>
      <w:r>
        <w:rPr>
          <w:b/>
        </w:rPr>
        <w:t>E. 7</w:t>
      </w:r>
    </w:p>
    <w:p>
      <w:r>
        <w:t>Vu ce qui précède, le recours doit être partiellement admis et la décision attaquée réformée, soit uniquement en ce sens que la durée de la réduction du forfait mensuel du recourant est limitée à deux mois. La quotité de la réduction (15 %) doit en revanche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