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PS.2009.0042 vom 4. November 2009</w:t>
      </w:r>
    </w:p>
    <w:p>
      <w:r>
        <w:t>VD Tribunal cantonal, 2009-11-04, FR</w:t>
      </w:r>
    </w:p>
    <w:p>
      <w:r>
        <w:rPr>
          <w:b/>
        </w:rPr>
        <w:t xml:space="preserve">Quelle: </w:t>
      </w:r>
      <w:r>
        <w:t>https://mcp.opencaselaw.ch/entscheid/vd_omni_PS.2009.0042</w:t>
      </w:r>
    </w:p>
    <w:p>
      <w:r>
        <w:t>FR: VD_OMNI PS.2009.0042 du 4 novembre 2009</w:t>
      </w:r>
    </w:p>
    <w:p>
      <w:r>
        <w:t>IT: VD_OMNI PS.2009.0042 del 4 novembre 2009</w:t>
      </w:r>
    </w:p>
    <w:p>
      <w:pPr>
        <w:pStyle w:val="Heading2"/>
      </w:pPr>
      <w:r>
        <w:t>Regeste</w:t>
      </w:r>
    </w:p>
    <w:p>
      <w:r>
        <w:t>X.________ /Département de l'intérieur, EVAM, Etablissement vaudois d'accueil des migrants | Famille somalienne admise provisoirement comprenant deux adultes (une mère et sa fille) et 4 enfants logée depuis juillet 2002 dans un appartement de 3 pièces à Lausanne attribué par l'EVAM. Demande de la famille de disposer d'un appartement plus grand. Décision de l'EVAM de lui attribuer un logement de 4 pièces à Moudon. A réception de cette décision, renonciation de la famille à sa requête traitée comme une opposition à la décision d'attribution du logement à Moudon. Confirmation de cette décision par l'EVAM puis sur recours par le Département de l'intérieur. L'Evam dispose d'un très large pouvoir d'appréciation dans la gestion de son parc locatif. Pas d'abus du pouvoir d'appréciation dès lors que les inconvénients du déménagement à Moudon demeurent tolérables (notamment la durée du déplacement de la recourante pour se rendre à son travail au CHUV) et que le déménagement permet de respecter les normes d'hébergement. Opinion minoritaire: Compte tenu du fait que la famille se trouve depuis plusieurs années dans l'appartement de Lausanne, le déplacement à Moudon ne saurait se justifier par les besoins de la gestion du parc immobilier de l'EVAM. Dès lors que le déménagement impliquera des désagréemnts non négligeables (durée des déplacements pour le travail et les activités sociales, mise en cause des efforts d'intégration à Lausanne des enfants, éventuelle aggravation des problèmes de santé de la recourante), l'EVAM a abusé de son pouvoir d'appréciation en l'imposant à la famille alors que cette dernière avait retiré sa demande.</w:t>
      </w:r>
    </w:p>
    <w:p>
      <w:pPr>
        <w:pStyle w:val="Heading2"/>
      </w:pPr>
      <w:r>
        <w:t>Erwägungen</w:t>
      </w:r>
    </w:p>
    <w:p>
      <w:r>
        <w:rPr>
          <w:b/>
        </w:rPr>
        <w:t>E. 1</w:t>
      </w:r>
    </w:p>
    <w:p>
      <w:r>
        <w:t>a) aa) En tant que personnes admises provisoirement, les membres de la famille de la recourante sont soumis à la loi fédérale sur l'asile du 26 juin 1998 (LAsi; RS 142.31). Selon l'art. 81 LAsi, les personnes qui séjournent en Suisse en vertu de cette loi et qui ne peuvent subvenir à leur entretien par leurs propres moyens reçoivent l'aide sociale nécessaire, à moins qu'un tiers ne soit tenu d'y pourvoir en vertu d'une obligation légale ou contractuelle, ou l'aide d'urgence, à condition qu'elles en fassent la demande. Selon l'art. 82 al. 1 LAsi, l'octroi de l'aide sociale et de l'aide d'urgence est régi par le droit cantonal, à savoir dans le Canton de Vaud la loi du 7 mars 2006 sur l'aide aux requérants d'asile et à certaines catégories d'étrangers (LARA; RSV 142.21). Selon l'art. 20 LARA, l'assistance est, dans la mesure du possible, octroyée sous la forme de prestations en nature et peut prendre la forme d’hébergement, d’un encadrement médico-sanitaire, d’un accompagnement social et, si nécessaire, d’autres prestations en nature (al. 1) ; l’assistance peut en outre prendre la forme de prestations financières (al. 2). L’art. 21 LARA prévoit que les normes d’assistance fixent les principes relatifs au contenu de l’assistance (al. 1) et que, sur cette base, le département édicte des directives permettant d’établir l’assistance octroyée dans chaque cas, en tenant compte de la situation du bénéficiaire (al. 2). En application de cette disposition, le Chef du département de l’intérieur édicte chaque année  un « Guide d’assistance » qui comprend notamment des normes d’attribution des logements individuels en fonction de la taille et de la composition de la famille. Selon l'art. 28 al. 1 LARA, les demandeurs d’asile sont en principe hébergés dans des centres d’accueil ou dans des appartements. L'art. 30 LARA prévoit que l'hébergement fait l'objet d'une décision de l'EVAM (al. 1). Cette décision fixe le lieu, le début et la fin de l'hébergement, ainsi que ses modalités (al. 2). bb) Compte tenu de la formulation de l'art. 30 LARA et des impératifs liés à la gestion par l'EVAM des logements à sa disposition, ce dernier dispose d'un très large pouvoir d'appréciation lorsqu'il s'agit d'attribuer des logements. Même lorsqu'elle jouit d'un pouvoir discrétionnaire, l'autorité n'est toutefois pas libre d'agir comme bon lui semble et il appartient au tribunal de contrôler que celle-ci n’a pas excédé ou abusé de son pouvoir d’appréciation. Selon l'art. 98 de la loi du 28 octobre 2008 sur la procédure administrative (LPA-VD; RSV 173.36), le pouvoir d'examen du tribunal s'étend ainsi à la violation du droit, qui comprend l'excès ou l'abus du pouvoir d'appréciation. Il y a excès du pouvoir d'appréciation lorsque l'autorité augmente ou restreint à tort la liberté d'appréciation dont elle dispose.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(Cour de droit administratif et public, arrêt AC.2007.0210 du 17 mars 2008 consid. 2).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134 I 263 consid. 3.1). b) Dans le cas d'espèce, il n’apparaît guère contestable que le déménagement de la famille de la recourante de ******** à 1******** implique un certain nombre de désagréments et nécessitera un temps d’adaptation. Cela étant, comme le relève le Département dans sa réponse, la durée des déplacements de la recourante pour se rendre à son travail au CHUV demeure admissible puisque Lausanne se trouve à un peu plus de 30 minutes de Moudon en train. Pour le même motif, ne seront également pas entravées de manière excessive les activités religieuses de la recourante aux mosquées de Lausanne (qui se trouve à proximité de la gare) et de Renens ainsi que les possibilités de contact avec les membres de la famille demeurant à Lausanne et la communauté somalienne de Lausanne. Pour ce qui est des activités sociales des enfants, notamment au sein de clubs sportifs, on relève que celles-ci pourront se poursuivre à Moudon au sein des clubs de la région, ce qui devrait d’ailleurs permettre de faciliter leur intégration. Au surplus, la décision contestée permettra à la famille d’occuper un  logement conforme aux normes d’hébergement alors que leur logement actuel ne l’est pas, la recourante relevant d’ailleurs dans son acte de recours que l’appartement à Lausanne est trop petit, ce qui perturberait notamment l’apprentissage scolaire et le bon développement des enfants. Vu ce qui précède, on ne saurait considérer que l’EVAM a abusé du très large pouvoir d’appréciation dont il dispose dans la gestion de son parc immobilier et c’est par conséquent a juste titre que l’autorité intimée a confirmé cette décision sur recours.</w:t>
      </w:r>
    </w:p>
    <w:p>
      <w:r>
        <w:rPr>
          <w:b/>
        </w:rPr>
        <w:t>E. 2</w:t>
      </w:r>
    </w:p>
    <w:p>
      <w:r>
        <w:t>Il résulte de ce qui précède que le recours doit être rejeté et les décisions du Département de l'intérieur du 19 mai 2009 et de l'EVAM des 14 juillet et 16 juin 2008 confirmées.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