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PS.2009.0027 vom 10. März 2010</w:t>
      </w:r>
    </w:p>
    <w:p>
      <w:r>
        <w:t>VD Tribunal cantonal, 2010-03-10, FR</w:t>
      </w:r>
    </w:p>
    <w:p>
      <w:r>
        <w:rPr>
          <w:b/>
        </w:rPr>
        <w:t xml:space="preserve">Quelle: </w:t>
      </w:r>
      <w:r>
        <w:t>https://mcp.opencaselaw.ch/entscheid/vd_omni_PS.2009.0027</w:t>
      </w:r>
    </w:p>
    <w:p>
      <w:r>
        <w:t>FR: VD_OMNI PS.2009.0027 du 10 mars 2010</w:t>
      </w:r>
    </w:p>
    <w:p>
      <w:r>
        <w:t>IT: VD_OMNI PS.2009.0027 del 10 marzo 2010</w:t>
      </w:r>
    </w:p>
    <w:p>
      <w:pPr>
        <w:pStyle w:val="Heading2"/>
      </w:pPr>
      <w:r>
        <w:t>Regeste</w:t>
      </w:r>
    </w:p>
    <w:p>
      <w:r>
        <w:t>X c/Service de prévoyance et d'aide sociales | Si le jugement de divorce prévoit que la pension alimentaire est due jusqu'à la majorité, en mentionnant seulement "l'art. 277 al. 2 CCS est réservé", sans préciser expressément la poursuite et le montant du versement de la contribution d'entretien au-delà de la majorité de l'enfant, le BRAPA ne peut plus verser d'avances sur pension alimentaire, à défaut de titre permettant de procéder au recouvrement des avances accordées. Dans ce cas, il appartient à l'enfant devenu majeur d'ouvrir action contre le parent débiteur pour fixer la contribution d'entretien due dès sa majorité.</w:t>
      </w:r>
    </w:p>
    <w:p>
      <w:pPr>
        <w:pStyle w:val="Heading2"/>
      </w:pPr>
      <w:r>
        <w:t>Erwägungen</w:t>
      </w:r>
    </w:p>
    <w:p>
      <w:r>
        <w:rPr>
          <w:b/>
        </w:rPr>
        <w:t>E. 1</w:t>
      </w:r>
    </w:p>
    <w:p>
      <w:r>
        <w:t>La décision des 15/23 mai 2007, par laquelle le BRAPA a annoncé à la recourante la cessation du versement des avances de pensions alimentaires pour sa fille B.X.________ dès 1 er novembre 2007, n'a pas fait l'objet d'un recours, si bien qu'elle est entrée en force. Faute de modification notable des circonstances en fait et en droit depuis lors et d'éléments nouveaux et importants, il n'y a en principe pas matière à réexamen (art. 64 LPA-VD). On peut se demander si le BRAPA devait entrer en matière sur la demande de reconsidération de la décision en cause présentée par la CSI. Point n'est besoin de trancher définitivement cette question, du moment que le recours doit de toute manière être rejeté sur le fond (voir ci-dessous).</w:t>
      </w:r>
    </w:p>
    <w:p>
      <w:r>
        <w:rPr>
          <w:b/>
        </w:rPr>
        <w:t>E. 2</w:t>
      </w:r>
    </w:p>
    <w:p>
      <w:r>
        <w:t>a) La loi cantonale du 10 février 2004 sur le recouvrement et les avances sur pensions alimentaires (LRAPA; RSV 850.36) règle l'action de l'Etat en matière d'aide au recouvrement des pensions alimentaires découlant du droit de la famille et d'avances sur celles-ci (art. 1). L'art. 4 LRAPA définit les pensions alimentaires comme étant les obligations pécuniaires d'entretien fondées sur le droit du divorce et de la filiation fixées dans les jugements civils définitifs et exécutoires, des ordonnances de mesures protectrices de l'union conjugale, des ordonnances de mesures provisoires et des conventions alimentaires ratifiées (art. 4 LRAPA). Il est précisé à l'art.</w:t>
      </w:r>
    </w:p>
    <w:p>
      <w:r>
        <w:rPr>
          <w:b/>
        </w:rPr>
        <w:t>E. 5</w:t>
      </w:r>
    </w:p>
    <w:p>
      <w:r>
        <w:t>LRAPA que l'ayant droit à des pensions alimentaires – le créancier d'aliments – enfant ou adulte, domicilié dans le canton de Vaud, qui ne reçoit pas ou qui reçoit irrégulièrement la prestation qui lui est due, peut demander une aide appropriée au Service de prévoyance et d'aide sociales. b) L'art. 133 CC prévoit notamment qu'en cas de divorce, le juge fixe, d'après les dispositions régissant les effets de la filiation, les relations personnelles entre l'enfant et l'autre parent ainsi que la contribution d'entretien due par ce dernier. La contribution d'entretien peut être fixée pour une période allant au-delà de l'accès à la majorité. Selon l'art. 276 CC, les père et mère doivent pourvoir à l'entretien de l'enfant et assumer, par conséquent, les frais de son éducation, de sa formation et des mesures prises pour le protéger (al. 1). L'entretien est assuré par les soins et l'éducation ou, lorsque l'enfant n'est pas sous la garde de ses père et mère, par des prestations pécuniaires (al. 2). Les père et mère sont déliés de leur obligation d'entretien dans la mesure où l'on peut attendre de l'enfant qu'il subvienne à son entretien par le produit de son travail ou par ses autres ressources (al. 3). Selon l'art. 277 CC, l'obligation d'entretien des père et mère dure jusqu'à la majorité de l'enfant (al. 1). Toutefois,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(art. 277 al. 2 CC). Selon l'art. 14 CC, la majorité est fixée à 18 ans révolus. 3. a) Dans un arrêt du 18 janvier 2008, la Cour de droit administratif et public (CDAP) a rappelé la jurisprudence selon laquelle le juge de divorce fixait en principe la pension de l'enfant jusqu'à la majorité de celui-ci; pour ce qui était de l'obligation d'entretien après la majorité, le juge du divorce avait la faculté de la régler d'avance. S'il s'en abstenait, la contribution d'entretien fixée par le jugement de divorce était uniquement due jusqu'à ce que l'enfant atteigne la majorité, même s'il n'avait pas achevé sa formation professionnelle, car, une fois majeur, l'enfant ne pouvait faire valoir un droit à une contribution d'entretien fixée dans une décision judiciaire ou une convention au sens de l'art. 4 LRAPA qui aurait permis au BRAPA de procéder à des avances sur pensions alimentaires; l'enfant majeur devait agir lui-même en fixation d'une contribution (PS.2007.0200 consid. 4; voir aussi TA PS.2007.0068 du 15 août 2007 consid. 4; ATF 129 III 55 consid. 3.1.3 et 3.1.4 p. 58; 112 II 199, spéc. 202 et les renvois; TA PS.1996.0202 et PS.2004.0094). b) En l'espèce, le jugement de divorce du 21 novembre 2001 se borne à octroyer aux deux filles de la recourante une pension alimentaire de 750 fr. (dès l'âge de 15 ans) jusqu'à la majorité, en mentionnant  que "l'art. 277 al. 2 CCS est réservé". Il ne prévoit pas expressément la poursuite du versement de la contribution d'entretien au-delà de la majorité. Il faut donc considérer que le juge du divorce a fixé la pension notamment de B.X.________ jusqu'à sa majorité, selon le principe prévu par l'art. 271 al. 1 CC. Le simple fait que le juge ait réservé l'application de l'art. 272 al. 2 CC n'y change rien. Il ne découle pas de cette simple mention que la question d'une éventuelle contribution d'entretien après la majorité a été réglée d'avance par le juge du divorce. Dès lors, il appartient à l'enfant majeure d'agir en fixation d'une contribution d'entretien. c) B.X.________ a atteint l'âge de la majorité le 21 octobre 2007. A partir de cette date,  le BRAPA n'était plus en possession d'un titre permettant de procéder au recouvrement des avances dues et il n'était ainsi plus en droit de lui verser des avances, ceci quand bien même l'enfant de la recourante n'avait pas achevé sa formation professionnelle. En effet, le paiement de l'avance de frais est subordonné à l'existence d'une décision judiciaire ou d'une convention ratifiée par le juge du divorce définissant clairement le débiteur de la pension et ses obligations (cf. PS.2007.0220 consid. 5). Aussi longtemps que B.X.________ n'a pas obtenu la fixation d'une contribution d'entretien en sa faveur pour la période ayant débuté le 22 octobre 2007, elle ne dispose d'aucune créance à faire valoir. C'est donc à juste titre que le BRAPA a cessé le versement des avances dès cette date. Du reste, le Tribunal fédéral a jugé qu'il n'était pas insoutenable de considérer qu'un jugement de divorce, qui réserve uniquement l'application de l'art. 277 al. 2 CC, ne constituait pas un titre de mainlevée définitive pour les contributions d'entretien dues après la majorité. Le juge de la mainlevée n'avait pas à statuer sur l'existence de la créance, ni à examiner le fondement matériel de la décision qui lui était présentée; il ne lui appartenait pas non plus de trancher des questions délicates de droit matériel. Une disposition légale instituant l'obligation de fournir une prestation pécuniaire – dans le cas particulier l'art. 277 al. 2 CC – ne constituait pas à elle seule un titre de mainlevée (ATF non publié 5P.88/2005 du 19 octobre 2005, consid. 2). d) Enfin, la recourante ne peut se prévaloir de l'arrêt PS.2008.0069 du 27 février 2009 dont les circonstances sont différentes de celles du cas particulier, dès lors que la convention sur les effets accessoires du divorce prévoyait que le parent débiteur s'engageait à contribuer à l'entretien de son enfant "par le paiement d'une pension mensuelle de 1'800 fr. par mois, jusqu'à sa majorité ou jusqu'à la fin de ses études ou de sa formation professionnelle, pour autant qu'elles se terminent dans un délai raisonnable (art. 277 al. 2 CC)" . Or, en l'occurrence, le juge du divorce n'a pas fixé le montant de la pension au-delà de la majorité. Peu importe dès lors que la greffière du Tribunal d'arrondissement de 3.******** ait dit que la contribution d'entretien était due au-delà de la majorité lors d'un entretien téléphonique. Il ne s'agit pas d'une promesse qui lie les autorités. Il appartient donc à l'enfant d'agir au fond, comme le relève l'autorité intimée, en ouvrant action contre le parent débiteur pour fixer la contribution d'entretien due dès sa majorité. L'argument de la recourante selon lequel, étant au bénéfice des prestations du RI, elle ne pouvait pas faire appel aux services d'un avocat est dénué de pertinence, du moment qu'elle peut - comme sa fille majeure - solliciter l'assistance judiciaire gratuite. 4. Les considérants qui précèdent conduisent au rejet du recours et à la confirmation de la décision querellée. L'arrêt est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