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PS.2009.0024 vom 8. Oktober 2009</w:t>
      </w:r>
    </w:p>
    <w:p>
      <w:r>
        <w:t>VD Tribunal cantonal, 2009-10-08, FR</w:t>
      </w:r>
    </w:p>
    <w:p>
      <w:r>
        <w:rPr>
          <w:b/>
        </w:rPr>
        <w:t xml:space="preserve">Quelle: </w:t>
      </w:r>
      <w:r>
        <w:t>https://mcp.opencaselaw.ch/entscheid/vd_omni_PS.2009.0024</w:t>
      </w:r>
    </w:p>
    <w:p>
      <w:r>
        <w:t>FR: VD_OMNI PS.2009.0024 du 8 octobre 2009</w:t>
      </w:r>
    </w:p>
    <w:p>
      <w:r>
        <w:t>IT: VD_OMNI PS.2009.0024 del 8 ottobre 2009</w:t>
      </w:r>
    </w:p>
    <w:p>
      <w:pPr>
        <w:pStyle w:val="Heading2"/>
      </w:pPr>
      <w:r>
        <w:t>Regeste</w:t>
      </w:r>
    </w:p>
    <w:p>
      <w:r>
        <w:t>X.________ c/Office régional de placement de l'Ouest Lausannois ORPOL, Centre social régional de l'Ouest-Lausannois, Instance juridique chômage Service de l'emploi | Le 1er novembre 2008 sont entrées en vigueur les dispositions de la LEmp et du RLEmp visant à transférer, de l'autorité d'application du RI aux ORP, la compétence de sanctionner les demandeurs d'emploi bénéficiant du RI en cas de violations de leurs devoirs dans le cadre de leur suivi professionnel (consid. 1c). Demandeur d'emploi au RI, le recourant s'est vu infliger une réduction de 15% de son forfait RI pendant 3 mois, faute d'avoir fourni à temps à l'ORP ses recherches d'emploi d'octobre. La sanction est justifiée dans son principe (consid. 2). Elle l'est également dans sa quotité. Si la faute commise est en elle-même bénigne - la remise ayant finalement été effectuée -, le recourant s'était toutefois déjà livré à un tel retard à 6 reprises pendant les 26 mois précédents (consid. 3).</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La détermination du noyau intangible (qualifié de minimum vital absolu) à 75% du forfait "pour l'entretien" (qualifié de minimum vital social) n'apparaît pas critiquable. En effet, le forfait "pour l'entretien" du ch. 3.5 des directives constitue le forfait "entretien et intégration" fixé par l e barème RI annexé au RLASV. Le Tribunal cantonal a déjà jugé qu'une réduction de 25% du forfait "entretien et intégration" équivaut peu ou prou à la suppression du forfait II et à la réduction de 15% du forfait I alloués sous l’empire de la LPAS (PS.2008.0057 du 1er décembre 2008 consid. 3). Or, le forfait I correspond au forfait "pour l'entretien" des normes CSIAS, dont une réduction de 15% laisse intact le noyau intangible. c) La CDAP a jugé qu’une réduction de 15% du forfait RI (LASV)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Tribunal administratif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"JEM" (Jusqu'à l'Emploi), la CDAP a fixé la réduction du forfait (LASV) à 15% pendant deux mois. Il ne s'agissait pas d'une faute grave (PS.2008.0057 du 1 er décembre 2008). Dans un arrêt du 1 er mars 2007, le Tribunal administratif s'est penché sur la question des recherches d'emploi. Il a précisé qu'elles devaient se terminer à la fin de chaque mois et aucune prolongation ne pouvait être envisagée. L'assuré n'avait entrepris aucune recherche d'emploi durant un mois. La faute avait été qualifiée de légère, compte tenu du fait qu'un assuré est entravé dans ses recherches d'emploi lorsqu'il occupe un travail temporaire à plein temps (arrêt du Tribunal fédéral des assurances du 16 mars 2000 dans la cause C.258/99 du 16 mars 2000). L'autorité intimée en avait tenu compte en fixant la durée de la suspension à cinq jours indemnisables (PS.2006.0234 cité). d) En l'espèce, la sanction infligée au recourant consiste en une réduction du forfait entretien et intégration de 15% pendant trois mois. Le taux de réduction de 15%, qui laisse subsister une somme de 10% supérieure au noyau intangible, n'apparaît pas disproportionné. Il correspond du reste au minimum prévu par l'art. 12 b RLEmp (ainsi que par l'art. 44 RLASV détaillant la réduction des prestations sanctionnant les personnes soumises exclusivement à la LASV). S'agissant de la durée de la réduction, de trois mois - soit d'un mois supérieur au minimum réglementaire -, elle ne paraît pas davantage excessive. Si la faute consistant à remettre tardivement ses recherches d'emploi d'octobre 2008 est en elle-même bénigne - la remise ayant finalement été effectuée -, le recourant s'était toutefois déjà livré à un tel retard à six reprises entre août 2006 et septembre 2008, soit sur une période de 26 mois. Une telle répétition justifie ainsi une réduction de 15% pendant trois mois.</w:t>
      </w:r>
    </w:p>
    <w:p>
      <w:r>
        <w:rPr>
          <w:b/>
        </w:rPr>
        <w:t>E. 4</w:t>
      </w:r>
    </w:p>
    <w:p>
      <w:r>
        <w:t>Vu ce qui précède, le recours doit être rejeté et la décision attaquée confirmée, à la charge de l'Etat.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