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PS.2009.0018 vom 10. März 2010</w:t>
      </w:r>
    </w:p>
    <w:p>
      <w:r>
        <w:t>VD Tribunal cantonal, 2010-03-10, FR</w:t>
      </w:r>
    </w:p>
    <w:p>
      <w:r>
        <w:rPr>
          <w:b/>
        </w:rPr>
        <w:t xml:space="preserve">Quelle: </w:t>
      </w:r>
      <w:r>
        <w:t>https://mcp.opencaselaw.ch/entscheid/vd_omni_PS.2009.0018</w:t>
      </w:r>
    </w:p>
    <w:p>
      <w:r>
        <w:t>FR: VD_OMNI PS.2009.0018 du 10 mars 2010</w:t>
      </w:r>
    </w:p>
    <w:p>
      <w:r>
        <w:t>IT: VD_OMNI PS.2009.0018 del 10 marzo 2010</w:t>
      </w:r>
    </w:p>
    <w:p>
      <w:pPr>
        <w:pStyle w:val="Heading2"/>
      </w:pPr>
      <w:r>
        <w:t>Regeste</w:t>
      </w:r>
    </w:p>
    <w:p>
      <w:r>
        <w:t>A.X.________ / Service de prévoyance et d'aide sociales | Avances sur pension alimentaire accordées en vertu d'une convention MPUC. Le BRAPA n'est pas lié par la reconnaissance effectuée par le juge de paix d'un jugement de divorce kosovar, présenté à titre de moyen libératoire dans une procédure de mainlevée d'opposition. En l'occurrence, le jugement étranger ne peut être reconnu (citation irrégulière d'une partie). C'est donc à tort que le BRAPA a cessé le versement des avances et exigé le remboursement d'une partie de celles-ci.</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Selon l'art. 9 al. 1 de la loi du 10 février 2004 sur le recouvrement et les avances sur pensions alimentaires (LRAPA; RSV 850.36), l’Etat peut accorder au créancier d'aliments, enfant ou adulte, qui se trouve dans une situation économique difficile, des avances totales ou partielles sur les pensions courantes. Le règlement du 30 novembre 2005 d'application de la loi du 10 février 2004 sur le recouvrement et les avances sur pensions alimentaires (RLRAPA; RSV 850.36.1) fixe les limites de fortune et de revenus en deçà desquelles les avances sont octroyées, et détermine aussi le montant maximum des avances, qui sont en principe non remboursables (art. 9 al.</w:t>
      </w:r>
    </w:p>
    <w:p>
      <w:r>
        <w:rPr>
          <w:b/>
        </w:rPr>
        <w:t>E. 4</w:t>
      </w:r>
    </w:p>
    <w:p>
      <w:r>
        <w:t>LRAPA). Elles peuvent néanmoins donner lieu à restitution aux conditions fixées par les art. 13 et 14 LRAPA. En particulier, le Service de prévoyance et d’aide sociales réclame par voie de décision, au bénéficiaire ou à sa succession, le remboursement des prestations perçues indûment (art. 13 al. 1 LRAPA). Selon l’art. 15 RLRAPA, le service exige le remboursement des montants indus si le bénéficiaire tait des faits importants ou dissimule des pièces utiles. 3. La recourante fait valoir que le jugement rendu au Kosovo ne peut pas être reconnu en Suisse et que, partant, le SPAS n'aurait pas dû, sur cette base, cesser son intervention. Elle évoque l'avis du Contrôle des habitants de Lausanne, qui n'a pas tenu compte du jugement de divorce et la considère toujours comme mariée. Le SPAS, pour sa part, s'estime lié par les considérants du prononcé du juge de paix du 2 février 2009, qui a reconnu le jugement kosovar et refusé en conséquence, pour la période postérieure au divorce, la mainlevée définitive de l'opposition. a) A défaut de convention particulière liant la Suisse au Kosovo, la loi fédérale du 18 décembre 1987 sur le droit international privé (LDIP; RS 291) définit les conditions de reconnaissance du jugement de divorce kosovar (art. 1 al. 1 let. c, 1 al. 2 LDIP). Selon l’art. 25 LDIP, u ne décision étrangère est reconnue en Suisse si la compétence des autorités judiciaires ou administratives de l’Etat dans lequel la décision a été rendue était donnée (let. a) ; si la décision n’est plus susceptible de recours ordinaire ou si elle est définitive (let. b) et s’il n’y a pas de motif de refus au sens de l’art. 27 (let. c) . L'art. 27 al. 1 LDIP prévoit notamment que l a reconnaissance d’une décision étrangère doit être refusée si elle est manifestement incompatible avec l’ordre public suisse. La reconnaissance d'une décision doit être également refusée si un partie établit qu'elle n'a pas été citée régulièrement, ni selon le droit de son domicile, ni selon le droit de sa résidence habituelle, à moins qu'elle n'ait procédé au fond sans faire de réserve (art. 27 al. 2 let. a LDIP), ou que la décision a été rendue en violation de principes fondamentaux ressortissant à la conception suisse du droit de procédure, notamment que ladite partie n'a pas eu la possibilité de faire valoir ses moyens (art. 27 al. 2 let. b LDIP), ou encore qu'un litige entre les mêmes parties et sur le même objet a déjà été introduit en Suisse ou y a déjà été jugé, ou qu'il a précédemment été jugé dans un Etat tiers, pour autant que cette dernière décision remplisse les conditions de sa reconnaissance (art. 27 al. 2 let. c LDIP). La décision étrangère ne peut cependant pas faire l'objet d'une révision au fond (art. 27 al. 3 LDIP). Selon Bucher/Bonomi, la décision étrangère qui répond aux conditions de sa reconnaissance en Suisse y est reconnue de plein droit, sans qu'aucune procédure ne soit requise à cet effet. Une autorité suisse peut être appelée à se prononcer sur la reconnaissance de deux manières. Elle peut en être saisie à titre préalable dans une procédure engagée par une demande principale ayant un objet différent. Selon l'art. 29 al. 3 LDIP, cette autorité jouit alors de la compétence pour juger sur la reconnaissance, mais celle-ci n'est pas assortie de l'autorité de la chose jugée (Andreas Bucher/Andrea Bonomi, Droit international privé, Helbing &amp; Lichtenhahn, Bâle, 2001, p. 76 s. § 306). Une telle reconnaissance incidente n'a que des effets limités à la procédure dans laquelle elle s'inscrit (François Knoepfler/Philippe Schweizer, Précis de droit international privé suisse, Editions Staempfli &amp; Cie SA, Berne, 1990, p. 227 § 729). Les cantons doivent prévoir une possibilité pour qu'une décision étrangère reconnue en vertu des art. 25 à 27 LDIP puisse être déclarée exécutoire à la requête de l'intéressé (art. 28 LDIP; Bucher/Bonomi, op. cit., p. 78 § 312). L'exécution des décisions étrangères en Suisse a ceci de particulier que l'exécution forcée ayant pour objet une somme d'argent ou des sûretés à fournir dépend du droit fédéral (art. 38 al. 1 de la loi fédérale du 11 avril 1889 sur la poursuite pour dettes et la faillite [LP; RS 281.1]; Schmidt, Commentaire romand, Poursuite et faillite, n. 8 ad art. 80 LP), tandis que dans les autres cas, elle relève du droit cantonal (Bucher/Bonomi, op. cit., p. 77 § 308). Le législateur cantonal a réglé cette question en adoptant notamment l'art. 507 du Code de procédure civile du 14 décembre 1966 (CPC; 270.11), qui dispose ce qui suit: " 1 L'autorité compétente pour reconnaître et déclarer exécutoire, à la requête de l'intéressé, les jugements rendus dans un pays étranger est le président du tribunal d'arrondissement du lieu où doit se dérouler l'exécution. 2 Le juge de la mainlevée est toutefois compétent pour statuer sur la reconnaissance et l'exécution de jugements étrangers comportant une condamnation au paiement d'une somme d'argent ou à la prestation de sûretés." b) Contrairement à ce que soutient le SPAS, la procédure de mainlevée devant le juge de paix n'a pas donné lieu à application de l'art. 507 CPC. En effet, l'art. 507 al. 2 CPC traite de la reconnaissance et de l'exécution de jugements étrangers comportant une condamnation au paiement d'une somme d'argent ou à la prestation de sûreté, ce qui n'est manifestement pas le cas du jugement de divorce rendu au Kosovo, lequel ne prévoit aucune condamnation pécuniaire de quelque sorte que ce soit (ni contribution d'entretien, ni dépens). Le jugement dont l'exécution était demandée n'était autre que la convention de mesures protectrices de l'union conjugale du 25 septembre 2007 ratifiée par le Président du Tribunal d'arrondissement de Lausanne pour valoir prononcé de mesures protectrices de l'union conjugale. La procédure n'avait donc pas pour but la reconnaissance et l'exécution d'un jugement étranger, mais la mainlevée de l'opposition. Le juge de paix s'est certes posé la question de la reconnaissance du jugement de divorce, mais ne l'a examiné que comme moyen libératoire au sens de l'art. 81 LP. Il s'agissait donc d'une question préjudicielle et non de l'objet du prononcé de mainlevée, soit une reconnaissance préalable selon l'art. 29 al. 3 LDIP, qui ne jouit pas de l'autorité de la chose jugée et n'a que des effets limités à la procédure dans laquelle elle s'inscrit. La LP ne donne pas une plus grande portée que la LDIP à cette reconnaissance, puisqu'il est constant que le jugement prononçant ou refusant la mainlevée ne sortit d'effet qu'en ce qui concerne la poursuite, dont la procédure sommaire de mainlevée constitue un incident (Gilliéron, Commentaire de la loi fédérale sur la poursuite pour dettes et la faillite, n. 83 ad art. 80 LP et les références citées; Schmidt, Commentaire romand, Poursuite et faillite, n. 17 s. ad art. 80 LP et n. 5 ad art. 79 LP). C'est donc à tort que le SPAS s'estime lié par la décision du juge de paix reconnaissant le jugement de divorce reconnu au Kosovo. c) L'avis du Contrôle des habitants de Lausanne à la recourante, refusant de reconnaître le divorce prononcé au Kosovo, ne lie pas le SPAS. En effet, il n'a fait qu'examiner de manière incidente la reconnaissance du jugement dans le but de tenir à jour le registre de la population résidente (art. 17 al. 1 ch. 4 de la loi du 9 mai 1983 sur le contrôle des habitants [LCH; RSV 142.01]). La déclaration de résidence produite par la recourante n'atteste au demeurant que de la résidence et non de l'identité de la personne ou de son état civil (art. 8 al. 1 du règlement d'application de la loi du 9 mai 1983 sur le contrôle des habitants [RLCH; RSV 142.01.1]), ce que rappelle expressément le texte de la déclaration de résidence. d) Le SPAS ne pouvait pas se reposer, s'agissant de la reconnaissance du jugement kosovar, sur l'appréciation du juge de paix, mais devait examiner, avant de mettre fin à ses avances et demander la restitution d'une partie de celles-ci, si les conditions de la reconnaissance du jugement de divorce rendu au Kosovo étaient réunies. aa) L'art. 25 al. 1 let. c LDIP soumet la reconnaissance à l'absence de motif de refus au sens de l'art. 27 LDIP, lequel exige le respect de l'ordre public matériel (art. 27 al. 1 LDIP) et procédural (art. 27 al. 2 LDIP). C'est à la partie défenderesse à la reconnaissance qu'incombe la charge de la preuve de l'existence d'un motif de refus de reconnaissance tenant à la violation de l'ordre public suisse procédural (Bernard Dutoit, op. cit., n. 6 ad art. 27 LDIP; Bucher/Bonomi, op. cit., p. 70 § 279). Ce fardeau de la preuve est cependant atténué par le fait que la décision dont la reconnaissance est demandée doit être accompagnée, en cas de jugement par défaut, d'un document officiel établissant que le défaillant a été cité régulièrement et qu'il a eu la possibilité de faire valoir ses moyens (art. 29 al. 1 let. c LDIP). bb) Une telle attestation fait en l'occurrence défaut, quand bien même il ressort du jugement de divorce qu'il a été rendu en l'absence de la recourante. Bien plus, ce jugement indique que l'adresse de cette dernière est inconnue, alors que le demandeur, lui-même domicilié à Lausanne, ne pouvait ignorer l'adresse de son épouse. Tout porte ainsi à croire qu'il a caché cette adresse au juge, de manière à ce que la recourante ne puisse pas faire valoir ses droits dans la procédure de divorce. Le fait qu'elle ait été dotée d'un " représentant provisoire légal " qui s'est opposé à la demande de divorce n'y change rien, dans la mesure où ce représentant n'a visiblement eu aucun contact avec la recourante, qui n'a ainsi pas pu faire valoir ses moyens par son intermédiaire. Ainsi les conditions d'une reconnaissance du jugement de divorce rendu au Kosovo ne sont pas remplies, et l'autorité intimée ne peut pas considérer comme caduque la convention de mesure protectrice de l'union conjugale ratifiée par le Président du Tribunal d'arrondissement de Lausanne le 25 septembre 2007. C'est donc à tort que le SPAS a cessé le versement des avances sur pensions alimentaires et exigé le remboursement d'une partie des avances effectuées. e) Pour le surplus, le refus de mainlevée opposé au SPAS dans sa poursuite en paiement des contributions alimentaires dont il a obtenu la cession n'est pas un motif de cessation des avances. Le SPAS reste libre d'intenter à nouveau une poursuite contre l'époux de la recourante pour les mêmes montants dont il a déjà tenté d'obtenir l'exécution forcée. En effet, le jugement prononçant ou refusant la mainlevée ne sortit d'effet qu'en ce qui concerne la poursuite, dont la procédure sommaire de mainlevée constitue un incident; le poursuivant est libre d'introduire une nouvelle requête de mainlevée pour la même créance, dans une autre voire dans la même poursuite (Gilliéron, Commentaire de la loi fédérale sur la poursuite pour dettes et la faillite, n. 83 ad art. 80 LP et les références citées; Schmidt, Commentaire romand, Poursuite et faillite, n. 17 s. ad art. 80 LP et n. 5 ad art. 79 LP; ATF 99 Ia 423, traduit in JdT 1974 II 78 consid. 4 p. 78; 98 Ia 527, traduit in JdT 1974 II 8 consid. 4 p. 16; 65 III 49, traduit in JdT 1939 II 87). Le SPAS pourra aussi en cas de nouveau refus de mainlevée, recourir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