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PS.2008.0070 vom 19. August 2009</w:t>
      </w:r>
    </w:p>
    <w:p>
      <w:r>
        <w:t>VD Tribunal cantonal, 2009-08-19, FR</w:t>
      </w:r>
    </w:p>
    <w:p>
      <w:r>
        <w:rPr>
          <w:b/>
        </w:rPr>
        <w:t xml:space="preserve">Quelle: </w:t>
      </w:r>
      <w:r>
        <w:t>https://mcp.opencaselaw.ch/entscheid/vd_omni_PS.2008.0070</w:t>
      </w:r>
    </w:p>
    <w:p>
      <w:r>
        <w:t>FR: VD_OMNI PS.2008.0070 du 19 août 2009</w:t>
      </w:r>
    </w:p>
    <w:p>
      <w:r>
        <w:t>IT: VD_OMNI PS.2008.0070 del 19 agosto 2009</w:t>
      </w:r>
    </w:p>
    <w:p>
      <w:pPr>
        <w:pStyle w:val="Heading2"/>
      </w:pPr>
      <w:r>
        <w:t>Regeste</w:t>
      </w:r>
    </w:p>
    <w:p>
      <w:r>
        <w:t>X.________ c/Service de prévoyance et d'aide sociales, Centre social intercommunal de Vevey | Recours devenu sans objet, l'autorité intimée ayant rapporté la décision entreprise.</w:t>
      </w:r>
    </w:p>
    <w:p>
      <w:pPr>
        <w:pStyle w:val="Heading2"/>
      </w:pPr>
      <w:r>
        <w:t>Erwägungen</w:t>
      </w:r>
    </w:p>
    <w:p>
      <w:r>
        <w:rPr>
          <w:b/>
        </w:rPr>
        <w:t>E. 1</w:t>
      </w:r>
    </w:p>
    <w:p>
      <w:r>
        <w:t>a) Selon l'art. 75 al. 1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p. 404, 409 consid. 1.3 p. 412; 131 II 365 consid. 1.2, 588 consid. 2.1, 651 consid. 3.1; 131 V 300 consid. 3). Le recours d'un particulier formé dans l'intérêt général ou dans l'intérêt d'un tiers est exclu (ATF 133 II 468 consid. 1 p. 469 ss; 131 II 649 consid. 3.1 p. 651). En principe, l'intérêt digne de protection au recours doit être actuel (ATF 128 II 34 consid. 1b p. 36, avec les références). A défaut d'un tel intérêt au moment du dépôt du recours, il n'y a pas lieu d'entrer en matière sur le recours et celui-ci doit être déclaré irrecevable; si l'intérêt digne de protection ne fait pas d'emblée défaut, mais disparaît en cours de procédure, le litige est déclaré sans objet et la cause radiée du rôle (cf. ATF 118 Ia 488 consid. 1a p. 490). Il en va de même devant la cour de céans.</w:t>
      </w:r>
    </w:p>
    <w:p>
      <w:r>
        <w:rPr>
          <w:b/>
        </w:rPr>
        <w:t>E. 2</w:t>
      </w:r>
    </w:p>
    <w:p>
      <w:r>
        <w:t>Le Tribunal fédéral renonce parfois à l'exigence d'un intérêt actuel au recours, lorsque celui-ci porte sur un acte qui pourrait se reproduire en tout temps, dans des circonstances semblables et qui, en raison de sa brève durée ou de ses effets limités dans le temps, ne pourrait vraisemblablement jamais être soumis au contrôle judiciaire de la Cour suprême (ATF 131 II 670 consid. 1.2 p. 673; 128 II 34 consid. 1b p. 36; 126 I 250 consid. 1b p. 252).</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131 V 164 consid. 2.1, 125 V 414 consid. 1A, 119 Ib 36consid. 1b et les références citées).</w:t>
      </w:r>
    </w:p>
    <w:p>
      <w:r>
        <w:rPr>
          <w:b/>
        </w:rPr>
        <w:t>E. 4</w:t>
      </w:r>
    </w:p>
    <w:p>
      <w:r>
        <w:t>En l’espèce, l’objet initial de la contestation est circonscrit par la décision prise le 25 juin 2008 par le CSI, réduisant de 25% le forfait RI de la recourante. Après avoir rejeté le recours interjeté par X.________ contre cette décision, le SPAS, sur le vu de la jurisprudence rendue par la Cour de céans, a rapporté sa décision et annulé la première décision. Ainsi, la recourante ne fait aujourd’hui plus l’objet d’aucune sanction, du moins en relation avec la problématique de la signature d’une procuration générale, seule question litigieuse dans la présente procédure. En d’autres termes, la situation de X.________ est la même que si la décision source du présent litige n’avait jamais existé, et, ainsi, il est patent qu’il ne subsiste plus d’intérêt actuel digne de protection au recours. Il va au demeurant de soi que la recourante ne doit avoir subi aucun préjudice financier du fait de son refus initial de se conformer aux instructions des autorités inférieures. S’agissant des l’argumentation relative à la procédure pénale initiée par plainte de X.________, elle ne saurait infirmer le raisonnement qui précède. En effet, la cour ne dispose d’aucune compétence en matière pénale, et il ne lui appartient en particulier aucunement de remettre en cause ou même de qualifier les décisions prises par les autorités de justice pénale vaudoise. Si la recourante entend le faire, il lui appartient de procéder devant dites autorités.</w:t>
      </w:r>
    </w:p>
    <w:p>
      <w:r>
        <w:rPr>
          <w:b/>
        </w:rPr>
        <w:t>E. 5</w:t>
      </w:r>
    </w:p>
    <w:p>
      <w:r>
        <w:t>En conclusion, le recours étant sans objet, la cause doit être rayée du rôle, sans frais de justice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