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PS.2007.0092 vom 20. Juni 2008</w:t>
      </w:r>
    </w:p>
    <w:p>
      <w:r>
        <w:t>VD Tribunal cantonal, 2008-06-20, FR</w:t>
      </w:r>
    </w:p>
    <w:p>
      <w:r>
        <w:rPr>
          <w:b/>
        </w:rPr>
        <w:t xml:space="preserve">Quelle: </w:t>
      </w:r>
      <w:r>
        <w:t>https://mcp.opencaselaw.ch/entscheid/vd_omni_PS.2007.0092</w:t>
      </w:r>
    </w:p>
    <w:p>
      <w:r>
        <w:t>FR: VD_OMNI PS.2007.0092 du 20 juin 2008</w:t>
      </w:r>
    </w:p>
    <w:p>
      <w:r>
        <w:t>IT: VD_OMNI PS.2007.0092 del 20 giugno 2008</w:t>
      </w:r>
    </w:p>
    <w:p>
      <w:pPr>
        <w:pStyle w:val="Heading2"/>
      </w:pPr>
      <w:r>
        <w:t>Regeste</w:t>
      </w:r>
    </w:p>
    <w:p>
      <w:r>
        <w:t>X. /Caisse cantonale de chômage, Office régional de placement de Cossonay-Orbe-La Vallée | Suspension du droit à l'indemnité pour perte fautive d'emploi, sur le principe justifiée: le recourant, par ses absences répétées, a donné à l'employeur un motif de licenciement, en rompant la confiance requise dans les rapports de travail. Toutefois, les circonstances (l'absence d'avertissement formel et le caractère précaire de l'emploi notamment) permettent de qualifier la faute de moyenne et non de grave. La suspension devrait être arrêtée à 25 jours. Toutefois, selon la jurisprudence, en cas d'abandon fautif d'une activité procurant un gain intermédiaire, seule la différence entre l'indemnité journalière à laquelle l'assuré a droit et l'indemnité compensatoire fait l'objet de la suspension. Renvoi de la cause à l'autorité intimée pour qu'elle procède à un nouveau calcul de la durée de la suspension en application de cette règle.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 de sorte qu¿il y a lieu d¿entrer en matière sur le fond.</w:t>
      </w:r>
    </w:p>
    <w:p>
      <w:r>
        <w:rPr>
          <w:b/>
        </w:rPr>
        <w:t>E. 2</w:t>
      </w:r>
    </w:p>
    <w:p>
      <w:r>
        <w:t>Il y a lieu de déterminer tout d'abord si le contrat conclu entre X.________ et Y.________ SA était de durée déterminée ou indéterminée. Le recourant prétend en effet que le contrat passé entre les deux parties était un contrat de durée déterminée de deux semaines qui a pris fin le 11 septembre 2006. L'employeur ne pouvait dès lors plus résilier le contrat le 13 septembre 2006 compte tenu du fait que le contrat avait pris fin. "Dans le doute, en l'absence d'une volonté concordante des parties ou d'une restriction temporelle qui se déduit clairement du but du contrat, il faut admettre que les parties ont conclu un contrat de durée indéterminée; c'est à celui qui se prévaut du caractère déterminé du contrat d'en apporter la preuve, art. 8 CC" (Rémy Wyler,  Droit du travail, 2 ème éd. revue et complétée, Berne 2008, chap. 9.1, p. 436). En l'espèce, l'assuré n'amène aucun élément permettant d'établir que le contrat oral conclu avec l'entreprise Y.________ SA devait prendre fin le 11 septembre 2007; ses déclarations à cet égard sont d'autant moins crédibles qu'il s'est rendu à son travail le 12 septembre 2006 (tout en prétendant que le contrat s'était terminé le jour précédant). De son côté, l'employeur a expliqué qu'il était convenu que les rapports de travail prendraient fin lorsque l'assuré aurait trouvé un emploi convenant mieux à ses attentes ou lorsque l'entreprise ne pourrait plus lui fournir de travail. Ces éléments permettent de retenir que le contrat n'avait pas été prévu pour une durée déterminée de deux semaines comme l'a affirmé le recourant.</w:t>
      </w:r>
    </w:p>
    <w:p>
      <w:r>
        <w:rPr>
          <w:b/>
        </w:rPr>
        <w:t>E. 3</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2007, D 17 et 21).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b) Le comportement fautif de l¿assuré ayant donné à son employeur un motif de résiliation du contrat de travail doit être clairement établi (Circulaire IC 2007, D20),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2007, D6-D7).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PS.2001.0120 du 20 novembre 2001 et PS.1997.0029 du 25 juin 1997, et les références citées). c)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 422-423; ATF 125 V 193, 119 V 9 et les arrêts cités; Tribunal administratif, arrêt PS.1997.0253 du 23 avril 1998).</w:t>
      </w:r>
    </w:p>
    <w:p>
      <w:r>
        <w:rPr>
          <w:b/>
        </w:rPr>
        <w:t>E. 4</w:t>
      </w:r>
    </w:p>
    <w:p>
      <w:r>
        <w:t>a) En l'espèce, l'autorité intimée a considéré qu'une faute pouvait être reprochée au recourant, en raison notamment de ses absences répétées. Le recourant reconnaît s'être absenté à plusieurs reprises, mais affirme que son ancien employeur l'avait autorisé à quitter son travail, notamment en dernier lieu pour rédiger un curriculum vitae pour l'ORP. Il n'y a pas lieu de poursuivre l'instruction pour établir la réalité de ce dernier manquement reproché à l'assuré. On ne voit pas en effet qu'un employeur autorise un travailleur à manquer toute une journée pour rédiger un curriculum vitae. Le tribunal retient par conséquent, en vertu du principe de la vraisemblance prépondérante, que la cause de la fin des rapports de travail réside dans le comportement fautif du recourant. Il a ainsi donné à son employeur un motif de résiliation au sens de l¿art. 44 al. 1 let. a OACI . En revanche, il est douteux que les manquements du recourant aient pu justifier un licenciement pour justes motifs sans un avertissement formel (cf sur ce point R. Wyler, op. cit., p. 496 s.). Mais cette question demeure sans incidence sur l'appréciation de la faute, dès lors qu'il suffit que la survenance du chômage soit due au comportement de l'assuré (PS.2006.0057 du 26 juin 2006). b) S¿agissant de la quotité de la suspension, l ¿art. 45 al. 2 OACI prévoit qu¿elle est de 1 à 15 jours en cas de faute légère (let. a) ; 16 à 30 jours en cas de faute de gravité moyenne (let. b) ; 31 à 60 jours en cas de faute grave (let. c). Dans le cas d'espèce, par ses absences répétées, le recourant a donné à l'employeur un motif de licenciement, en rompant la confiance requise dans les rapports de travail. Dans son prononcé du 23 octobre 2006, expose la décision attaquée, la caisse avait pris en compte une suspension de base de 16 jours, aggravée de 15 jours en raison du licenciement avec effet immédiat. Or, il ne ressort pas du dossier que l'assuré ait reçu d'avertissement formel. On relève en outre, en faveur du recourant le caractère précaire de l'emploi (qui devait prendre fin lorsque l'employeur n'aurait plus de travail à fournir), la nature des tâches confiées (comprenant des activités d'ouvrier agricole) et le décompte des heures effectuées (qui montre que le recourant ne s'est pas révélé incapable d'effectuer un horaire de travail complet, contrairement à ce qu'a prétendu l'employeur). Cet état de fait permet de qualifier la faute de moyenne (cf PS.2007.0233 du 28 mars 2008; PS. 2004.0250 du 7 février 2008) et non de grave, comme l'a retenu l'autorité intimée (cf TFA arrêt C 190/06 du 20 décembre 2006; PS.2006. 0101 du 15 septembre 2006). Tout bien considéré, une suspension de 25 jours paraît dès lors une sanction appropriée et suffisante pour tenir compte du fait que les manquements reprochés au recourant vont au-delà du non-respect des instructions reçues (PS. 2007.0233 du 28 mars 2008: suspension de 20 jours en cas de licenciement ensuite de retard à informer l'employeur sur l'incapacité de travail; PS.2004.0250 du 7 février 2008: suspension de 20 jours en cas de licenciement pour non-respect des instructions; PS.1999.0054 du 13 avril 2006: suspension de 25 jours en cas de licenciement après avertissement pour différents griefs, baisse de qualité de travail, attitude négative, notamment). c) Les considérations qui précèdent conduiraient ainsi à prononcer une suspension de 25 jours. Selon la jurisprudence, les assurés qui cessent, par leur propre faute, une activité procurant un gain intermédiaire ne peuvent être suspendus dans leur droit à l'indemnité que dans la mesure où leur droit aux indemnités de chômage est supérieur à leur droit aux indemnités compensatoires prévu à l'art. 24 LACI (TFA, arrêt C 129/2001 du 15 avril 2002; DTA 1998 p. 48 consid. 5a). Dans ce cas, seule la différence entre l'indemnité journalière à laquelle l'assuré a droit et l'indemnité compensatoire fait alors l'objet de la suspension. Selon les principes de la causalité et de la proportionnalité, on ne peut en effet conclure à une prolongation fautive du chômage que dans la mesure de cette différence (Circulaire IC 2003, D64). La cause sera dès lors renvoyée à l'autorité intimée pour qu'elle procède à un nouveau calcul de la durée de la suspension en application de la règle rappelée ci-dessus.</w:t>
      </w:r>
    </w:p>
    <w:p>
      <w:r>
        <w:rPr>
          <w:b/>
        </w:rPr>
        <w:t>E. 5</w:t>
      </w:r>
    </w:p>
    <w:p>
      <w:r>
        <w:t>Il résulte de ce qui précède que le recours doit être partiellement admis et la décision attaquée annulée. Le dossier de la cause sera renvoyé à l'autorité intimée pour qu'elle rende une nouvelle décision dans le sens du considérant 4 b et c ci-dessus. Le présent arrêt sera rendu sans frais. Vu l'issue du litige, le recourant obtiendra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