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PS.2007.0070 vom 18. Dezember 2007</w:t>
      </w:r>
    </w:p>
    <w:p>
      <w:r>
        <w:t>VD Tribunal cantonal, 2007-12-18, FR</w:t>
      </w:r>
    </w:p>
    <w:p>
      <w:r>
        <w:rPr>
          <w:b/>
        </w:rPr>
        <w:t xml:space="preserve">Quelle: </w:t>
      </w:r>
      <w:r>
        <w:t>https://mcp.opencaselaw.ch/entscheid/vd_omni_PS.2007.0070</w:t>
      </w:r>
    </w:p>
    <w:p>
      <w:r>
        <w:t>FR: VD_OMNI PS.2007.0070 du 18 décembre 2007</w:t>
      </w:r>
    </w:p>
    <w:p>
      <w:r>
        <w:t>IT: VD_OMNI PS.2007.0070 del 18 dicembre 2007</w:t>
      </w:r>
    </w:p>
    <w:p>
      <w:pPr>
        <w:pStyle w:val="Heading2"/>
      </w:pPr>
      <w:r>
        <w:t>Regeste</w:t>
      </w:r>
    </w:p>
    <w:p>
      <w:r>
        <w:t>X. /Caisse cantonale de chômage, Office régional de placement de Morges-Aubonne | Constitue une perte fautive d'emploi le fait pour un employé de ne pas modifier son comportement malgré une menace de licenciement.</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Le droit de l'assuré à l'indemnité est suspendu lorsqu'il est établi que celui-ci est sans travail par sa propre faute (art. 30 al. 1 let. a de la loi du 25 juin 1982 sur l'assurance-chômage obligatoire et l'indemnité en cas d'insolvabilité [LACI]). Est notamment réputé sans travail par sa propre faute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(v. arrêt du Tribunal administratif PS.2004.0117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v. Circulaire du seco relative à l'indemnité de chômage IC 2007, D 15 à 22). Il 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(IC 2007, D 18).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(T. Locher, Grundriss des Sozialversicherungsrechts, Bern 1994, p. 331 no 30; A. Maurer, Bundessozialversicherungsrecht, Basel und Frankfurt a. M. 1993, pp. 422-423; ATF 125 V 193, 119 V 9 et les arrêts cités; TA PS.1997.0253 du 23 avril 1998).</w:t>
      </w:r>
    </w:p>
    <w:p>
      <w:r>
        <w:rPr>
          <w:b/>
        </w:rPr>
        <w:t>E. 3</w:t>
      </w:r>
    </w:p>
    <w:p>
      <w:r>
        <w:t>En l'espèce, l'ensemble des circonstances ainsi que les pièces figurant au dossier permettent d'admettre que le licenciement du recourant est lié à une faute de sa part. Le compte rendu de l'entretien du 21 août 2006 précise clairement que le recourant était en conflit avec un collègue et qu'aucune collaboration entre eux n'était possible de sorte qu'ils devaient être séparés et que si la situation ne devait pas évoluer, le recourant serait licencié. En outre, contrairement aux allégations du recourant qui prétend que tout se passait bien avant l'arrivée de son supérieur le 25 septembre 2006, ce compte rendu précise également que le travail de l'intéressé, en août déjà, ne répond pas aux attentes de l'entreprise. Vu le contenu de ce document et en y apposant sa signature, le recourant  savait qu'il était exposé au risque d'être licencié et devait par conséquent prendre les mesures de précaution qui s'imposaient pour ne pas perdre son emploi. Le fait qu'il n'ait pas signé la première page du procès-verbal est en l'occurrence irrelevant, la mention d'un licenciement possible étant mentionné sur la deuxième page signée par l'intéressé. Au demeurant, la première page dont le recourant prétend n'avoir eu connaissance qu'en mars 2007 ne fait que mentionner le différend entre lui-même et un collègue, différend qu'il  connaissait puisque sa mutation dans un autre service en a été la conséquence. Le tribunal considère ainsi que le chômage est imputable au recourant dès lors que ce dernier a donné à son employeur un motif de résiliation du contrat de travail au sens de l'art. 44 al. 1 let. a OACI. En outre, la caisse de chômage n'a pas dépassé son pouvoir d'appréciation en considérant que le comportement de l'assuré était assimilable à une faute légère et en fixant la durée de la suspension à 13 jours (art. 45 al. 2 OACI). Le recours doit être en conséquence rejeté et la décision entreprise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