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PS.2007.0006 vom 21. Januar 2008</w:t>
      </w:r>
    </w:p>
    <w:p>
      <w:r>
        <w:t>VD Tribunal cantonal, 2008-01-21, FR</w:t>
      </w:r>
    </w:p>
    <w:p>
      <w:r>
        <w:rPr>
          <w:b/>
        </w:rPr>
        <w:t xml:space="preserve">Quelle: </w:t>
      </w:r>
      <w:r>
        <w:t>https://mcp.opencaselaw.ch/entscheid/vd_omni_PS.2007.0006</w:t>
      </w:r>
    </w:p>
    <w:p>
      <w:r>
        <w:t>FR: VD_OMNI PS.2007.0006 du 21 janvier 2008</w:t>
      </w:r>
    </w:p>
    <w:p>
      <w:r>
        <w:t>IT: VD_OMNI PS.2007.0006 del 21 gennaio 2008</w:t>
      </w:r>
    </w:p>
    <w:p>
      <w:pPr>
        <w:pStyle w:val="Heading2"/>
      </w:pPr>
      <w:r>
        <w:t>Regeste</w:t>
      </w:r>
    </w:p>
    <w:p>
      <w:r>
        <w:t>X. c/Service de prévoyance et d'aide sociales, Centre social régional de Nyon-Rolle | Principes applicables à l'établissement des faits et à l'appréciation des preuves. Le devoir des parties de collaborer à l'instruction de l'affaire comprend en particulier l'obligation d'apporter, dans la mesure où cela peut être raisonnablement exigé d'elles, les preuves commandées par la nature du litige et des faits invoqués, faute de quoi elles risquent de devoir supporter les conséquences de l'absence de preuves. En l'espèce l'intéressé ne démontre pas que les 260'000 fr. qu'il a touchés peu avant sa demande ont été dépensés dans le remboursement de dettes - elles-mêmes non prouvées. Il ne rend ainsi pas vraissemblable qu'il ne dispose plus d'une fortune supérieure à 4'000 fr., de sorte que les conditions d'octroi du revenu d'insertion ne sont pas réunies.</w:t>
      </w:r>
    </w:p>
    <w:p>
      <w:pPr>
        <w:pStyle w:val="Heading2"/>
      </w:pPr>
      <w:r>
        <w:t>Erwägungen</w:t>
      </w:r>
    </w:p>
    <w:p>
      <w:r>
        <w:rPr>
          <w:b/>
        </w:rPr>
        <w:t>E. 1</w:t>
      </w:r>
    </w:p>
    <w:p>
      <w:r>
        <w:t>Déposé dans le délai de 30 jours fixé par l'art. 74 al. 1 de la loi du 2 décembre 2003 sur l'action sociale vaudoise (LASV), le recours est intervenu en temps utile. Il est au surplus recevable en la forme.</w:t>
      </w:r>
    </w:p>
    <w:p>
      <w:r>
        <w:rPr>
          <w:b/>
        </w:rPr>
        <w:t>E. 2</w:t>
      </w:r>
    </w:p>
    <w:p>
      <w:r>
        <w:t>Conformément à l'art. 2 de la loi du 20 juin 2007 modifiant celle du 18 décembre 1989 sur la juridiction et la procédure administratives (LJPA; RSV 173.36), entrée en vigueur le 1 er janvier 2008, la présente cause, pendante à cette date devant le Tribunal administratif, a été transmise à la Cour de droit administratif et public du Tribunal cantonal.</w:t>
      </w:r>
    </w:p>
    <w:p>
      <w:r>
        <w:rPr>
          <w:b/>
        </w:rPr>
        <w:t>E. 3</w:t>
      </w:r>
    </w:p>
    <w:p>
      <w:r>
        <w:t>L’action sociale vaudoise a pour but de venir en aide aux personnes qui ont des difficultés sociales ou sont dépourvues des moyens nécessaires à la satisfaction de leurs besoins indispensables pour mener une existence conforme à la dignité humaine ; elle comprend la prévention, l’appui social et le revenu d’insertion (art. 1 er al. 1 et 2 LASV). Le revenu d'insertion (RI) comprend notamment une prestation financière (art. 27 LASV), qui est accordée dans les limites d'un barème établi par le règlement, après déduction des ressources du requérant, de son conjoint ou partenaire enregistré ou de la personne qui mène de fait une vie de couple avec lui (art. 31 al. 2 LASV). A teneur de l'art. 32 LASV, le RI est versé selon les conditions de ressources prévues par la Conférence suisse des institutions d'action sociale (CSIAS). L'art. 18 RLASV précise ce qui suit: " 1 Le RI peut être accordé lorsque le patrimoine du requérant, de son conjoint, de son partenaire enregistré ou concubin comprend des actifs n'excédant pas les limites de fortune prévues par la Conférence suisse des institutions d'action sociale (CSIAS), à savoir : - Fr. 4'000.-- pour une personne seule; - Fr. 8'000.-- pour un couple marié ou concubins. 2 Ces limites sont augmentées de Fr. 2'000.-- par enfant à charge, mais ne peuvent pas dépasser Fr. 10'000.-- par famille."</w:t>
      </w:r>
    </w:p>
    <w:p>
      <w:r>
        <w:rPr>
          <w:b/>
        </w:rPr>
        <w:t>E. 4</w:t>
      </w:r>
    </w:p>
    <w:p>
      <w:r>
        <w:t>Selon l'art. 38 al. 1 LASV, la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Cette base légale pose clairement l'obligation pour le requérant de collaborer à l'établissement des faits propres à rendre au moins vraisemblable le besoin d'aide qu'il fait valoir. Il n'appartient en effet pas à l'autorité d'application de l’aide sociale d'établir un tel besoin d'aide. Si la procédure administrative fait prévaloir la maxime inquisitoriale impliquant que l'autorité est tenue de se fonder sur des faits réels qu'elle est tenue de rechercher, ce principe n'est pas absolu. Ainsi, lorsqu'il adresse une demande à l'autorité dans son propre intérêt, l'administré, libre de la présenter ou d'y renoncer - respectivement, le cas échéant, de la confirmer -, doit la motiver et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(Pierre Moor, Droit administratif, vol. II, éd. 2002, ch. 2.2.6.3 p. 260 et les références; Tribunal administratif, arrêt PS.2001.017 du 25 juin 2001, confirmé par un arrêt du Tribunal fédéral des assurances du 19 février 2002 dans la cause C. 219/01; PS.2005.0176 du 22 décembre 2005; PS.2005.274 du 3 août 2006).</w:t>
      </w:r>
    </w:p>
    <w:p>
      <w:r>
        <w:rPr>
          <w:b/>
        </w:rPr>
        <w:t>E. 5</w:t>
      </w:r>
    </w:p>
    <w:p>
      <w:r>
        <w:t>Il est établi que le recourant a touché 260'000 fr. en avril 2006. Il prétend que les 240'000 fr. retirés en espèce de son compte bancaire ont servi à rembourser une partie de ses dettes, soit une avance d'hoirie qu'il aurait utilisée pour l'achat d'une ferme et pour le paiement d'impôts successoraux. Les pièces qu'il a produites ne prouvent pas cette affirmation. La photocopie de la première page du pacte successoral (dont on peut se demander si elle est conforme à l'original, compte tenu des différences d'écritures qu'elle présente) tend certes à confirmer que le recourant a reçu des avances d'hoirie qu'il pouvait être amené à rapporter lors du partage de la succession de son père. Pour le reste, rien n'indique qu'il ait effectivement désintéressé ses frères et soeurs. Quant à la copie du document à l'entête de la Direction des finances du canton de Zurich, il ne s'agit que d'un projet de décision, qui n'est même pas daté ni signé. On ne saurait non plus conclure de l'annotation manuscrite "à rendre à F. X.________" que le montant de 153'069 fr. aurait été payé par le frère du recourant, ni que ce dernier s'est engagé à le rembourser. Les explications du recourant sont d'autant plus sujettes à caution que, lorsqu'il avait été invité à prouver l'utilisation de cet argent dans la cause PS.2006.0127, il avait indiqué qu'il avait servi à rembourser des personnes désirant rester anonymes qui l'auraient aidé financièrement pendant son divorce. En l’état du dossier le tribunal retiendra donc, à l’instar de l’autorité intimée, que le recourant n'a pas rendu vraisemblable qu'il ne disposait plus d'une fortune supérieure à 4'000 fr., de sorte que les conditions financières d’octroi du revenu d'insertion n'étaient pas réunies. Il s'ensuit que les 2'100 fr. qu'il a reçus à ce titre en mai 2006 lui ont été versés tort.</w:t>
      </w:r>
    </w:p>
    <w:p>
      <w:r>
        <w:rPr>
          <w:b/>
        </w:rPr>
        <w:t>E. 6</w:t>
      </w:r>
    </w:p>
    <w:p>
      <w:r>
        <w:t>L’art. 41 al. 1 let. a LASV dispose que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Il n'est pas nécessaire d'examiner en l'occurrence si le recourant peut se prévaloir de sa bonne foi, dès lors qu'il n'établit pas, en l'état, que ce remboursement le mettrait dans une situation difficile au sens de l'art. 41 al. 1 let. a LASV.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