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PS.2006.0247 vom 13. Juli 2007</w:t>
      </w:r>
    </w:p>
    <w:p>
      <w:r>
        <w:t>VD Tribunal cantonal, 2007-07-13, FR</w:t>
      </w:r>
    </w:p>
    <w:p>
      <w:r>
        <w:rPr>
          <w:b/>
        </w:rPr>
        <w:t xml:space="preserve">Quelle: </w:t>
      </w:r>
      <w:r>
        <w:t>https://mcp.opencaselaw.ch/entscheid/vd_omni_PS.2006.0247</w:t>
      </w:r>
    </w:p>
    <w:p>
      <w:r>
        <w:t>FR: VD_OMNI PS.2006.0247 du 13 juillet 2007</w:t>
      </w:r>
    </w:p>
    <w:p>
      <w:r>
        <w:t>IT: VD_OMNI PS.2006.0247 del 13 luglio 2007</w:t>
      </w:r>
    </w:p>
    <w:p>
      <w:pPr>
        <w:pStyle w:val="Heading2"/>
      </w:pPr>
      <w:r>
        <w:t>Regeste</w:t>
      </w:r>
    </w:p>
    <w:p>
      <w:r>
        <w:t>X. /Caisse cantonale de chômage, Office régional de placement d'Echallens | Donne à son employeur un motif de résiliation le technicien sur machines de distribution de billets de banque qui admet avoir commis une faute professionnelle à l'occasion de la disparition de tels billets.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2003, D 15, 16 et 19).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2003, D18). Il ressort de ce qui précède qu’en cas de résiliation des rapports de travail par l’employeur, une suspension doit être prononcée lorsque les conditions suivantes sont réunies : d’une part, il doit y avoir un lien de causalité adéquat entre le motif de licenciement, c’est-à-dire le comportement fautif de l’assuré, et le chômage. Le chômage est notamment considéré comme fautif lorsque l’assuré, par son comportement, en particulier par la violation de ses obligations contractuelles de travail, a donné à son employeur un motif de résiliation du contrat de travail. Il n’y a chômage fautif que si la résiliation est consécutive à un dol ou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(cf. Seco, Circulaire IC D 15-17). D’autre part, le comportement fautif de l’assuré ayant donné à son employeur un motif de résiliation du contrat de travail doit être clairement établi (IC D18),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(Circulaire IC D4-D6).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(TA PS.2001.0120 du 20 novembre 2001 et PS.97.0029 du 25 juin 1997, et les références citées).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TA PS.97.0253 du 23 avril 1998).</w:t>
      </w:r>
    </w:p>
    <w:p>
      <w:r>
        <w:rPr>
          <w:b/>
        </w:rPr>
        <w:t>E. 3</w:t>
      </w:r>
    </w:p>
    <w:p>
      <w:r>
        <w:t>En l’espèce, il n’est pas déterminant que le licenciement n’ait finalement pas été donné avec effet immédiat mais dans le délai de résiliation ordinaire. Ce qui importe c’est de connaître le motif de celui-ci. Or, l'ensemble des circonstances ainsi que les pièces figurant au dossier permettent d'admettre, en vertu du principe de la vraisemblance prépondérante, que le licenciement du recourant est lié à une faute de sa part. On rappelle qu’il a reconnu,  dans sa lettre non datée à la Caisse de chômage, avoir commis une faute professionnelle liée à la disparition de la somme de 2'000 francs du distributeur de la banque B.________, cliente de son employeur, somme retrouvée dans sa propre valise le lendemain, voire le 26 janvier selon ses déterminations complémentaires du 26 novembre 2006. Ses explications quant au déroulement des évènements précédant la perte de l’argent et qui ont pour but de démontrer que le disfonctionnement de la machine peut entraîner des erreurs comptables sont irrelevantes, dans la mesure où il a admis les faits qui lui étaient reprochés. Les autres motifs invoqués, outre qu’ils n’ont été étayés par aucun élément probant, ne permettraient pas de remettre en cause la responsabilité du recourant. Le tribunal considère ainsi que le chômage est imputable au recourant dès lors que ce dernier a donné à son employeur un motif de résiliation du contrat de travail au sens de l'art. 44 al. 1 let. a OACI. En outre, la caisse de chômage n'a pas dépassé son pouvoir d'appréciation en considérant que le comportement de l'assuré était assimilable à une faute moyenne et en fixant la durée de la suspension à 16  jours (art. 45 al. 2 let. c OACI et TA PS.2006.0171 du 3 avril 2007).</w:t>
      </w:r>
    </w:p>
    <w:p>
      <w:r>
        <w:rPr>
          <w:b/>
        </w:rPr>
        <w:t>E. 4</w:t>
      </w:r>
    </w:p>
    <w:p>
      <w:r>
        <w:t>Il résulte des considérants qui précèdent que le recours doit être rejeté et la décision attaquée maintenue. Conformément à l'art. 61 let. a LPGA, la procédure de recours est gratuite de sorte qu'il n'y a pas lieu de percevoir de frais de justice. En outre, le recourant qui n'obtient pas gain de cause et qui n'est pas assisté par un homme de loi n'a de toute manière pas droit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