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PS.2006.0234 vom 1. März 2007</w:t>
      </w:r>
    </w:p>
    <w:p>
      <w:r>
        <w:t>VD Tribunal cantonal, 2007-03-01, FR</w:t>
      </w:r>
    </w:p>
    <w:p>
      <w:r>
        <w:rPr>
          <w:b/>
        </w:rPr>
        <w:t xml:space="preserve">Quelle: </w:t>
      </w:r>
      <w:r>
        <w:t>https://mcp.opencaselaw.ch/entscheid/vd_omni_PS.2006.0234</w:t>
      </w:r>
    </w:p>
    <w:p>
      <w:r>
        <w:t>FR: VD_OMNI PS.2006.0234 du 1 mars 2007</w:t>
      </w:r>
    </w:p>
    <w:p>
      <w:r>
        <w:t>IT: VD_OMNI PS.2006.0234 del 1 marzo 2007</w:t>
      </w:r>
    </w:p>
    <w:p>
      <w:pPr>
        <w:pStyle w:val="Heading2"/>
      </w:pPr>
      <w:r>
        <w:t>Regeste</w:t>
      </w:r>
    </w:p>
    <w:p>
      <w:r>
        <w:t>X./Service de l'emploi, Instance juridique chômage, Office régional de placement de Nyon, Caisse cantonale de chômage | Confirmation de la jurisprudence selon laquelle l'assuré qui invoque un engagement à plein temps pour justifier une absence de recherches d'emploi doit être sanctionné par une suspension dans son droit à l'indemnité. Les assurés ne sont dispensés d'effectuer des recherches d'emploi que pendant les six mois qui précèdent l'âge réglementaire donnant droit à une rente AVS. Selon l'art. 27a OACI, chaque mois civil constitue une période de contrôle. Il ne peut pas être tenu compte de recherches effectuées postérieurement à cette période.</w:t>
      </w:r>
    </w:p>
    <w:p>
      <w:pPr>
        <w:pStyle w:val="Heading2"/>
      </w:pPr>
      <w:r>
        <w:t>Erwägungen</w:t>
      </w:r>
    </w:p>
    <w:p>
      <w:r>
        <w:rPr>
          <w:b/>
        </w:rPr>
        <w:t>E. 1</w:t>
      </w:r>
    </w:p>
    <w:p>
      <w:r>
        <w:t>Déposé dans le délai de trente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a) Aux termes de l'art. 17 al. 1 de la loi fédérale du 25 juin 1982 sur l'assurance-chômage obligatoire et l'indemnité en cas d'insolvabilité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26 de l'ordonnance du 31 août 1983 sur l'assurance-chômage obligatoire et l'indemnité en cas d'insolvabilité (OACI), l'assuré doit cibler ses recherches d'emploi, en règle générale selon les méthodes de postulation ordinaire (al. 1). En s'inscrivant pour toucher des indemnités, l'assuré doit fournir à l'office compétent la preuve des efforts qu'il entreprend pour trouver du travail (al. 2). Il doit apporter cette preuve pour chaque période de contrôle en remettant ses justificatifs au plus tard le</w:t>
      </w:r>
    </w:p>
    <w:p>
      <w:r>
        <w:rPr>
          <w:b/>
        </w:rPr>
        <w:t>E. 5</w:t>
      </w:r>
    </w:p>
    <w:p>
      <w:r>
        <w:t>du mois suivant ou le premier jour ouvrable qui suit cette date. Selon l'art. 27a OACI, chaque mois civil constitue une période de contrôle. En l'occurrence, la période de contrôle correspondait au mois de mars 2006. Partant, comme l'autorité intimée l'a relevé à juste titre dans ses observations du 5 décembre 2006, les recherches d'emploi afférentes à ce mois devaient se terminer le 31 mars 2006 et aucune prolongation au-delà de cette date ne pouvait être envisagée.</w:t>
      </w:r>
    </w:p>
    <w:p>
      <w:r>
        <w:rPr>
          <w:b/>
        </w:rPr>
        <w:t>E. 6</w:t>
      </w:r>
    </w:p>
    <w:p>
      <w:r>
        <w:t>Il résulte de ce qui précède que la faute est établie et que, dans son principe, la suspension du droit à l'indemnité doit  être confirmée. Il reste à déterminer la durée de la suspension, qui doit être proportionnelle à la gravité de la faute (art. 30 al.3 LACI). Elle est de un à quinze jours en cas de faute légère, de seize à trente jours en cas de faute d'une gravité moyenne, et trente et un à soixante jours en cas de faute grave (art. 45 al. 2 OACI). Selon la jurisprudence, il convient, lors de l'appréciation de la gravité de la faute, de tenir compte du fait qu'un assuré est entravé dans ses recherches d'emploi lorsqu'il occupe un travail temporaire à plein temps (arrêt du Tribunal fédéral des assurances du 16 mars 2000 dans la cause C.258/99 précité). En l'occurrence, on constate que l'autorité intimée a tenu compte de cet élément puisqu'elle a considéré que le recourant avait commis une faute légère et fixé la durée de la suspension à cinq jours indemnisables. Compte tenu des circonstances, la suspension s'avère proportionnée à la faute commise et doit en conséquence être confirmée.</w:t>
      </w:r>
    </w:p>
    <w:p>
      <w:r>
        <w:rPr>
          <w:b/>
        </w:rPr>
        <w:t>E. 7</w:t>
      </w:r>
    </w:p>
    <w:p>
      <w:r>
        <w:t>Il résulte des considérants qui précèdent que le recours doit être rejeté et la décision attaquée confirmée. En application de l'art. 61 let. a LPGA, le présent arrêt sera rendu sans frais. Il n'y a au surplus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