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PS.2006.0202 vom 22. Mai 2007</w:t>
      </w:r>
    </w:p>
    <w:p>
      <w:r>
        <w:t>VD Tribunal cantonal, 2007-05-22, FR</w:t>
      </w:r>
    </w:p>
    <w:p>
      <w:r>
        <w:rPr>
          <w:b/>
        </w:rPr>
        <w:t xml:space="preserve">Quelle: </w:t>
      </w:r>
      <w:r>
        <w:t>https://mcp.opencaselaw.ch/entscheid/vd_omni_PS.2006.0202</w:t>
      </w:r>
    </w:p>
    <w:p>
      <w:r>
        <w:t>FR: VD_OMNI PS.2006.0202 du 22 mai 2007</w:t>
      </w:r>
    </w:p>
    <w:p>
      <w:r>
        <w:t>IT: VD_OMNI PS.2006.0202 del 22 maggio 2007</w:t>
      </w:r>
    </w:p>
    <w:p>
      <w:pPr>
        <w:pStyle w:val="Heading2"/>
      </w:pPr>
      <w:r>
        <w:t>Regeste</w:t>
      </w:r>
    </w:p>
    <w:p>
      <w:r>
        <w:t>X.________ c/ Caisse cantonale de chômage, Office régional de placement de Morges-Aubonne, Laboratoire cantonal Contrôle des denrées alimentaires | En vertu du principe inquisitorial, la caisse doit établir les faits au degré de vraisemblance prépondérante avant de prononcer une suspension du droit aux indemnités pour perte fautive d'emploi. Lorsque l'assuré fait valoir, de manière plausible, que la poursuite de son activité professionnelle l'aurait rendu complice d'actes illicites, la caisse ne peut pas écarter ses allégations sans procéder à la moindre investigation pour en vérifier la véracité.</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Aux termes de l'art. 319 al. 1 du Code des obligations (CO), par le contrat individuel de travail, le travailleur s’engage, pour une durée déterminée ou indéterminée, à travailler au service de l’employeur et celui-ci à payer un salaire fixé d’après le temps ou le travail fourni (salaire aux pièces ou à la tâche). Sauf disposition contraire de la loi, ce contrat n’est soumis à aucune forme spéciale (art. 320 al. 1 CO). Il peut donc être conclu oralement, tacitement, par téléphone ou de manière écrite. En l'occurrence, le contrat de travail conclu par écrit entre la laiterie du Petit Diable et la recourante devait être effectif à partir du 15 novembre 2005. En avançant l'entrée en service au 7 octobre déjà, les deux parties ont modifié de manière implicite le contrat précité, de sorte qu'il faut considérer cette date comme le début de leurs rapports de travail, les autres termes du contrat n'ayant par ailleurs pas fait l'objet de modification. En particulier, la période du 7 octobre au 14 novembre 2005 ne saurait être qualifiée de temps d'essai, dès lors que, pour les contrats de durée déterminée, la loi n'en prévoit pas, les parties étant cependant libres d'en convenir d'un (ATF 109 II 449). Or, tel n'était pas le cas ici. En outre, vu la volonté concordante des parties, le fait que l'employeur ait unilatéralement et postérieurement modifié la date du début d'engagement sur le contrat signé par les parties est en définitive sans importance. On retiendra enfin que c'est la recourante qui a donné son congé, comme cela ressort de son acte de recours et de ses déclarations par-devant la caisse.</w:t>
      </w:r>
    </w:p>
    <w:p>
      <w:r>
        <w:rPr>
          <w:b/>
        </w:rPr>
        <w:t>E. 3</w:t>
      </w:r>
    </w:p>
    <w:p>
      <w:r>
        <w:t>En vertu de l'art. 30 al. 1er let. a de la loi fédérale du 25 juin 1982 sur l’assurance-chômage obligatoire et l’indemnité en cas d’insolvabilité (LACI),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(art. 44 al. 1er let. b de l'ordonnance du 31 août 1983 sur l’assurance-chômage obligatoire et l’indemnité en cas d’insolvabilité [OACI]) ou de l'assuré qui a résilié lui-même un contrat de travail vraisemblablement de longue durée et en a conclu un autre dont il savait ou aurait dû savoir qu'il ne serait que de courte durée, sauf s'il ne pouvait être exigé de lui qu'il conservât son ancien emploi (art. 44 al. 1er lit. c OACI). La notion de faute prend,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PS.2002.0009 du 28 février 2005, PS.2000.0096 du 26 mars 2001 et les références citées).</w:t>
      </w:r>
    </w:p>
    <w:p>
      <w:r>
        <w:rPr>
          <w:b/>
        </w:rPr>
        <w:t>E. 4</w:t>
      </w:r>
    </w:p>
    <w:p>
      <w:r>
        <w:t>Selon le Tribunal fédéral des assurances, il y a lieu d’admettre de façon restrictive les circonstances pour justifier l’abandon d’un emploi (DTA 1989 n°7 p. 89, consid. 1a et les références ; voir cependant ATF 124 V 234). Le Secrétariat d’Etat à l’économie (ci-après : le seco), autorité de surveillance en matière d’assurance-chômage, précise dans ses directives que le caractère convenable de l’ancien emploi est examiné à l’aide de critères stricts (Circulaire relative à l’indemnité de chômage IC 2003, D25). On ne peut exiger du travailleur qu’il conserve son emploi lorsque de justes motifs au sens des art. 337 et ss CO justifient une résiliation immédiate du rapport de travail (Circulaire IC 2003, D26). N'est pas réputé convenable tout travail qui, notamment, "n'est pas conforme aux usages professionnels et locaux et, en particulier, ne satisfait pas aux conditions des conventions collectives ou des contrats-types de travail" (art. 16 al. 2 let. a LACI). Le seco précise que les éléments déterminants sont les prescriptions légales, les conditions de salaire et de travail pour un même travail dans l'entreprise ou dans la branche ainsi que les conventions et les contrats-type de travail. L'administration dispose à cet égard d'une large liberté d'appréciation dans l'évaluation (Circulaire IC 2003, B199). Le Tribunal administratif a notamment jugé que l'employé chargé d'établir la comptabilité d'une société était en droit de résilier son contrat de travail lorsqu'il avait acquis des doutes sérieux quant à la légalité de l'activité de la société. En d'autres termes, on ne peut imposer à l'assuré de maintenir un rapport de travail dans le cadre duquel l'activité qu'il mène entraîne sa participation à des activités illicites de la société notamment sur le plan comptable (arrêt PS.2001.0141 du 25 février 2002). Il en va de même de l'assuré qui résilie son contrat en raison de violations par l'employeur de ses obligations légales en matière de LPP et qui, en sa qualité de responsable administratif, se trouve lui-même exposé à des poursuites pénales (arrêt PS.2004.0001 du 30 mai 2005).</w:t>
      </w:r>
    </w:p>
    <w:p>
      <w:r>
        <w:rPr>
          <w:b/>
        </w:rPr>
        <w:t>E. 5</w:t>
      </w:r>
    </w:p>
    <w:p>
      <w:r>
        <w:t>En l'espèce, la recourante fait valoir des conditions de travail contraires à ses exigences morales. Elle a notamment relaté que son employeur faisait passer pour siens des produits qui avaient été fabriqués industriellement. Au vu de la lettre du Chimiste cantonal du 10 avril 2007, de tels agissements constituent une violation de la loi fédérale sur les denrées alimentaires et les objets usuels (LDAL), qui sont punissables des arrêts ou de l’amende jusqu’à 20 000 francs (art. 48 al. 1 let. h LDAL). La complicité est également punissable (art. 48 al. 2 LDAL). Si les faits révélés par la recourante sont exacts, on ne peut exclure l'hypothèse que sa responsabilité pénale serait engagée dans le cadre de poursuites. Dans de telles conditions, un travail ne saurait être qualifié de conforme aux usages professionnels et locaux au sens de l’art. 16 al. 2 let. a LACI, et ne serait, partant, pas convenable. Avérés, ces faits ne permettraient en tout cas pas d’exiger de la recourante qu’elle conservât son travail, ce qui exclurait toute faute au regard de l’assurance-chômage. Au vu de leur importance sur le bien-fondé de la décision litigieuse, ces arguments devaient être examinés sérieusement. L'autorité intimée ne pouvait pas les écarter, en les considérant comme non prouvés, sans procéder à la moindre investigation pour en vérifier la véracité. Les explications données par la recourante apparaissent en effet plausibles, et l'on peut comprendre qu'elle ne les ait pas immédiatement exprimées lorsque la caisse lui a demandé les motifs de sa résiliation. La décision attaquée doit dès lors être annulée et la cause renvoyée à l'autorité intimée pour complément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