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PS.2006.0200 vom 5. November 2007</w:t>
      </w:r>
    </w:p>
    <w:p>
      <w:r>
        <w:t>VD Tribunal cantonal, 2007-11-05, FR</w:t>
      </w:r>
    </w:p>
    <w:p>
      <w:r>
        <w:rPr>
          <w:b/>
        </w:rPr>
        <w:t xml:space="preserve">Quelle: </w:t>
      </w:r>
      <w:r>
        <w:t>https://mcp.opencaselaw.ch/entscheid/vd_omni_PS.2006.0200</w:t>
      </w:r>
    </w:p>
    <w:p>
      <w:r>
        <w:t>FR: VD_OMNI PS.2006.0200 du 5 novembre 2007</w:t>
      </w:r>
    </w:p>
    <w:p>
      <w:r>
        <w:t>IT: VD_OMNI PS.2006.0200 del 5 novembre 2007</w:t>
      </w:r>
    </w:p>
    <w:p>
      <w:pPr>
        <w:pStyle w:val="Heading2"/>
      </w:pPr>
      <w:r>
        <w:t>Regeste</w:t>
      </w:r>
    </w:p>
    <w:p>
      <w:r>
        <w:t>A.X. /Caisse cantonale de chômage, Office régional de placement d'Aigle | Erreur de la caisse qui a versé des indemnités journalières sur la base d'un gain assuré trop élevé. Conditions d'une reconsidération au sens de l'art. 53 al. 2 LPGA réunies, la caisse étant fondée à demander le remboursement des montants perçus indûment.</w:t>
      </w:r>
    </w:p>
    <w:p>
      <w:pPr>
        <w:pStyle w:val="Heading2"/>
      </w:pPr>
      <w:r>
        <w:t>Erwägungen</w:t>
      </w:r>
    </w:p>
    <w:p>
      <w:r>
        <w:rPr>
          <w:b/>
        </w:rPr>
        <w:t>E. 1</w:t>
      </w:r>
    </w:p>
    <w:p>
      <w:r>
        <w:t>p. 383, 2b p. 384/385; 122 V 270 consid. 5b/aa p. 275; 119 V 431 consid. 3a p. 433, et les arrêts cités; TA, arrêt PS.2005.0027 du 20 avril 2005, consid. 2). En l’occurrence, il ressort de la décision sur opposition de la Caisse du 12 septembre 2006 que le SECO a procédé à une révision le 29 décembre 2005, ce qui n’est pas contesté par la recourante, de sorte que la caisse a respecté le délai péremptoire d’une année de l’art. 25 al. 2 LPGA dès lors qu’elle a déposé sa demande en restitution en février 2006. 5.                 Les propos de la recourante concernant son impossibilité à rembourser le montant en cause ne peuvent être examinés dans le cadre de la présente cause. Toutefois, comme l'a relevé l'autorité intimée dans sa décision sur opposition du 12 septembre 2006, la recourante conserve la possibilité de demander la remise de l'obligation de restituer les montants exigés par la Caisse. En effet, d'après l'art. 25 al. 1 1 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(art. 4 OPGA; arrêt du Tribunal fédéral du 13 avril 2006, C 169/05, consid. 1.2 et du 25 janvier 2006, C 264/05, consid. 2.1). La demande doit être écrite, motivée et accompagnée des pièces nécessaires et être déposée auprès de l'autorité cantonale compétente au plus tard 30 jours à compter de l'entrée en force de la décision de restitution (art. 4 al. 4 OPGA et 119 al. 3 OACI). Il ne s'agit là toutefois que d'un délai d'ordre, et non de péremption (ATF 132 V 42 consid. 3). 6.                 Les considérants qui précèdent conduisent au rejet du recours et au maintien de la décision entreprise. Le présent arrêt peut être rendu sans frais (art. 61 let. a LPGA). Compte tenu de l’issue de la procédure, la recourante ne saurait prétendre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