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PS.2006.0166 vom 24. August 2006</w:t>
      </w:r>
    </w:p>
    <w:p>
      <w:r>
        <w:t>VD Tribunal cantonal, 2006-08-24, FR</w:t>
      </w:r>
    </w:p>
    <w:p>
      <w:r>
        <w:rPr>
          <w:b/>
        </w:rPr>
        <w:t xml:space="preserve">Quelle: </w:t>
      </w:r>
      <w:r>
        <w:t>https://mcp.opencaselaw.ch/entscheid/vd_omni_PS.2006.0166</w:t>
      </w:r>
    </w:p>
    <w:p>
      <w:r>
        <w:t>FR: VD_OMNI PS.2006.0166 du 24 août 2006</w:t>
      </w:r>
    </w:p>
    <w:p>
      <w:r>
        <w:t>IT: VD_OMNI PS.2006.0166 del 24 agosto 2006</w:t>
      </w:r>
    </w:p>
    <w:p>
      <w:pPr>
        <w:pStyle w:val="Heading2"/>
      </w:pPr>
      <w:r>
        <w:t>Regeste</w:t>
      </w:r>
    </w:p>
    <w:p>
      <w:r>
        <w:t>X./Caisse cantonale de chômage, Office régional de placement de Lausanne, Service de l'emploi, Secrétariat d'Etat à l'économie (Seco) Marché du travail et | Détermination du gain intermédiaire: à la suite du Tribunal fédéral des assurances (cause C 341/05(, il faut admettre qu'en l'occurrence, l'assuré a réalisé un gain intermédiaire, sur le vu des notes de frais produites.</w:t>
      </w:r>
    </w:p>
    <w:p>
      <w:pPr>
        <w:pStyle w:val="Heading2"/>
      </w:pPr>
      <w:r>
        <w:t>Erwägungen</w:t>
      </w:r>
    </w:p>
    <w:p>
      <w:r>
        <w:rPr>
          <w:b/>
        </w:rPr>
        <w:t>E. 1</w:t>
      </w:r>
    </w:p>
    <w:p>
      <w:r>
        <w:t>Les arrêts du Tribunal fédéral passent en force de chose jugée dès leur prononcé (art. 38 OJ). Selon l’art. 114 al. 2 OJ, applicable par renvoi de l’art. 132 al. 1 de la même loi, le Tribunal fédéral, lorsqu’il admet un recours de droit administratif et annule l’arrêt cantonal, comme en l’occurrence, peut soit statuer lui-même au fond, soit renvoyer l’affaire pour nouvelle décision à l’autorité inférieure, soit, si celle-ci a tranché sur recours, la renvoyer à l’autorité qui a statué en première instance. En l’espèce, le Tribunal fédéral des assurances a simplement annulé l’arrêt du 17 novembre 2005. Il n’a pas statué lui-même au fond, ni renvoyé la cause à la Caisse cantonale. Il suit de là que le Tribunal doit statuer à nouveau, même si cela ne ressort pas expressément du dispositif de l’arrêt du 7 juin 2006.</w:t>
      </w:r>
    </w:p>
    <w:p>
      <w:r>
        <w:rPr>
          <w:b/>
        </w:rPr>
        <w:t>E. 2</w:t>
      </w:r>
    </w:p>
    <w:p>
      <w:r>
        <w:t>Les arrêts du Tribunal fédéral s’imposent à l’autorité cantonale dont l’arrêt a été cassé. Sur le vu des considérants de l’arrêt du 7 juin 2006, pour l’exécution duquel le Tribunal ne dispose d’aucune marge de manœuvre, il faut considérer que le revenu que le recourant a tiré de son activité auprès de X.________ pour les mois d’août et de septembre 2004 constitue un gain intermédiaire au sens de l’art. 24 LACI, à prendre en compte dans la détermination des indemnités de chômage. Pour le surplus, le recourant ne fait valoir aucun moyen quant à la détermination après coup du montant fictif de ce gain, comme la Caisse cantonale l’a fait dans sa décision du 27 juin 2005. Le recours doit ainsi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