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PS.2006.0121 vom 20. September 2006</w:t>
      </w:r>
    </w:p>
    <w:p>
      <w:r>
        <w:t>VD Tribunal cantonal, 2006-09-20, FR</w:t>
      </w:r>
    </w:p>
    <w:p>
      <w:r>
        <w:rPr>
          <w:b/>
        </w:rPr>
        <w:t xml:space="preserve">Quelle: </w:t>
      </w:r>
      <w:r>
        <w:t>https://mcp.opencaselaw.ch/entscheid/vd_omni_PS.2006.0121</w:t>
      </w:r>
    </w:p>
    <w:p>
      <w:r>
        <w:t>FR: VD_OMNI PS.2006.0121 du 20 septembre 2006</w:t>
      </w:r>
    </w:p>
    <w:p>
      <w:r>
        <w:t>IT: VD_OMNI PS.2006.0121 del 20 settembre 2006</w:t>
      </w:r>
    </w:p>
    <w:p>
      <w:pPr>
        <w:pStyle w:val="Heading2"/>
      </w:pPr>
      <w:r>
        <w:t>Regeste</w:t>
      </w:r>
    </w:p>
    <w:p>
      <w:r>
        <w:t>A. X.________ et B. X.________/Bureau de recouvrement et d'avances de pensions alimentaires | L'Etat ne peut accorder des avances sur pensions alimentaires fondées sur le droit du divorce et de la filiation que si ces dernières sont fixées dans des jugements civils définitifs et exécutoires, des ordonnances de mesures protectrices de l'union conjugale, des ordonnances de mesures provisoires et des conventions alimentaires ratifiées. Cas d'un enfant dont la pension alimentaire n'a été prévue que jusqu'à sa majorité par jugement de divorce de ses parents.</w:t>
      </w:r>
    </w:p>
    <w:p>
      <w:pPr>
        <w:pStyle w:val="Heading2"/>
      </w:pPr>
      <w:r>
        <w:t>Erwägungen</w:t>
      </w:r>
    </w:p>
    <w:p>
      <w:r>
        <w:rPr>
          <w:b/>
        </w:rPr>
        <w:t>E. 1</w:t>
      </w:r>
    </w:p>
    <w:p>
      <w:r>
        <w:t>a) Le 1 er janvier 2006 est entrée en vigueur la loi vaudoise sur le recouvrement et les avances sur pensions alimentaires du 10 février 2004 (LRAPA; RSV 850.36) qui règle l'action de l'Etat en matière d'aide au recouvrement des pensions alimentaires découlant du droit de la famille et d'avances sur celles-ci (art. 1 er ).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b) Selon l'art. 14 du Code civil suisse du 10 décembre 1907 (CC; RS 210), modifié par le chiffre I de la loi fédérale du 7 octobre 1994 en vigueur depuis le 1 er janvier 1996, la majorité est fixée à 18 ans révolus. Toutefois, les aliments fixés avant l'entrée en vigueur de la loi fédérale du 7 octobre 1994 jusqu'à l'accession à la majorité sont dus jusqu'à l'âge de 20 ans révolus (art. 13c du Titre final du CC).</w:t>
      </w:r>
    </w:p>
    <w:p>
      <w:r>
        <w:rPr>
          <w:b/>
        </w:rPr>
        <w:t>E. 2</w:t>
      </w:r>
    </w:p>
    <w:p>
      <w:r>
        <w:t>En l'espèce, le jugement de divorce du 31 janvier 1990 accorde au fils de la recourante une pension alimentaire mensuelle de 550 francs (724 francs, valeur actuelle selon indexation au coût de la vie) dès l'âge de 14 ans révolus et jusqu'à sa majorité. En application de l'art. 13c du Titre final du CC, cette pension alimentaire était due par son père jusqu'à ce que le fils de la recourante atteigne l'âge de 20 ans révolus. Ce qui a été le cas le 18 avril 2006. Dès lors que les recourants ne peuvent exciper d'un droit à une contribution d'entretien due par le père à son fils fixé dans un jugement civil définitif et exécutoire, une ordonnance de mesures protectrices de l'union conjugale, une ordonnance de mesures provisoires ou une convention alimentaire ratifiée (v. art. 4 LRAPA), le BRAPA ne saurait procéder à des avances sur pensions alimentaires en faveur du fils de la recourante, sauf à violer la loi. Ceci quand bien même le fils de la recourante n'a pas achevé ses étude ou sa formation professionnelle. C'est par conséquent à juste titre que le BRAPA a cessé le versement d'avances à compter du 18 avril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