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PS.2006.0103 vom 15. August 2006</w:t>
      </w:r>
    </w:p>
    <w:p>
      <w:r>
        <w:t>VD Tribunal cantonal, 2006-08-15, FR</w:t>
      </w:r>
    </w:p>
    <w:p>
      <w:r>
        <w:rPr>
          <w:b/>
        </w:rPr>
        <w:t xml:space="preserve">Quelle: </w:t>
      </w:r>
      <w:r>
        <w:t>https://mcp.opencaselaw.ch/entscheid/vd_omni_PS.2006.0103</w:t>
      </w:r>
    </w:p>
    <w:p>
      <w:r>
        <w:t>FR: VD_OMNI PS.2006.0103 du 15 août 2006</w:t>
      </w:r>
    </w:p>
    <w:p>
      <w:r>
        <w:t>IT: VD_OMNI PS.2006.0103 del 15 agosto 2006</w:t>
      </w:r>
    </w:p>
    <w:p>
      <w:pPr>
        <w:pStyle w:val="Heading2"/>
      </w:pPr>
      <w:r>
        <w:t>Regeste</w:t>
      </w:r>
    </w:p>
    <w:p>
      <w:r>
        <w:t>X./Bureau de recouvrement et d'avances de pensions alimentaires | Est tardif, partant irrecevable, le recours formé contre une décision de restitution de prestations, entrée en force, sous couvert d'une décision postérieure de refus d'octroi de prestations.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L'acte de recours doit indiquer les conclusions et motifs du recours (art. 31 al. 2 de la loi sur la juridiction et la procédure administratives, du 18 décembre 1989 -LJPA; RSJ 173.36). La jurisprudence n'est pas très exigeante quant à la motivation. Les conclusions doivent toutefois être claires de manière à ce que la demande du recourant soit compréhensible (arrêt PS.2004.0248, du 22 juillet 2005). b) En l'espèce, l’argumentation développé à l’appui du recours concerne  exclusivement la quotité du montant réclamé selon la décision du 13 décembre 2005. Or, la décision querellée, du 6 avril 2006, porte sur un autre objet, soit la suppression de l’allocation et ne fait que rappeler, comme en passant, celle du 13 décembre 2005. En accordant un nouveau délai à la recourante pour formuler une proposition de remboursement, le BRAPA n’a pas reconsidéré sa première décision. Aussi, le dispositif de la décision querellée ne concerne-t-il que la suppression de l'avance de pension alimentaire, ce que la recourante ne conteste en aucune façon, se bornant à critiquer la mise à sa charge de la restitution du trop-perçu. Or, le délai pour attaquer la décision du 13 décembre 2005 avait expiré au moment du dépôt du recours. Tardif, celui-ci est partant irrecevable.</w:t>
      </w:r>
    </w:p>
    <w:p>
      <w:r>
        <w:rPr>
          <w:b/>
        </w:rPr>
        <w:t>E. 2</w:t>
      </w:r>
    </w:p>
    <w:p>
      <w:r>
        <w:t>Il est statué sans frais. L’allocation de dépens n’entre pas en ligne de compte.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