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PS.2006.0065 vom 16. Juni 2006</w:t>
      </w:r>
    </w:p>
    <w:p>
      <w:r>
        <w:t>VD Tribunal cantonal, 2006-06-16, FR</w:t>
      </w:r>
    </w:p>
    <w:p>
      <w:r>
        <w:rPr>
          <w:b/>
        </w:rPr>
        <w:t xml:space="preserve">Quelle: </w:t>
      </w:r>
      <w:r>
        <w:t>https://mcp.opencaselaw.ch/entscheid/vd_omni_PS.2006.0065</w:t>
      </w:r>
    </w:p>
    <w:p>
      <w:r>
        <w:t>FR: VD_OMNI PS.2006.0065 du 16 juin 2006</w:t>
      </w:r>
    </w:p>
    <w:p>
      <w:r>
        <w:t>IT: VD_OMNI PS.2006.0065 del 16 giugno 2006</w:t>
      </w:r>
    </w:p>
    <w:p>
      <w:pPr>
        <w:pStyle w:val="Heading2"/>
      </w:pPr>
      <w:r>
        <w:t>Regeste</w:t>
      </w:r>
    </w:p>
    <w:p>
      <w:r>
        <w:t>X./UNIA Caisse de chômage, Office régional de placement de Lausanne | Confirmation du refus de verser l'indemnité chômage à l'épouse de l'exploitant d'un restaurant en raison individuelle. Confirmation de la jurisprudence selon laquelle est exlcu du droit à l'indemnité le conjoint de celui qui exerce une fonction dirigeante au sein de l'entreprise qui a procédé au licenciement.</w:t>
      </w:r>
    </w:p>
    <w:p>
      <w:pPr>
        <w:pStyle w:val="Heading2"/>
      </w:pPr>
      <w:r>
        <w:t>Erwägungen</w:t>
      </w:r>
    </w:p>
    <w:p>
      <w:r>
        <w:rPr>
          <w:b/>
        </w:rPr>
        <w:t>E. 1</w:t>
      </w:r>
    </w:p>
    <w:p>
      <w:r>
        <w:t>Déposé dans le délai de 30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a) Selon la jurisprudence du Tribunal fédéral des assurances (ci après: TFA),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de la loi fédérale du 25 juin 1982 sur l'assurance-chômage obligatoire et l'indemnité en cas d'insolvabilité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(ATF 123 V 234). Tout en admettant que cette règle est rigoureuse pour l'assuré, le TFA justifie sa position par la nécessité de permettre le contrôle de la perte de travail de l'intéressé, condition mise au droit à l'indemnité de chômage (art. 8 al. 1 lit. b LACI).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un tel cas de figure,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(DTA 2003 n° 22 consid. 4; R Jäggi, op. cit., p. 7). La jurisprudence a étendu l'exclusion du conjoint du droit à l'indemnité en cas de réduction de l'horaire de travail, au droit à l'indemnité de chômage (cf. ATF du 29 août 2005 dans la cause C163/04 consid. 2.2 et références). Selon le TFA, les conjoints peuvent en effet exercer une influence sur la perte de travail qu'ils subissent, ce qui rend leur chômage difficilement contrôlable. Le TFA relève également que, aussi longtemps que cette influence subsiste, il existe une possibilité de réengagement. Dans ce cas également, il s'agit par conséquent de ne pas détourner la réglementation en matière d'indemnités en cas de réduction de l'horaire de travail par le biais d'une disposition sur l'indemnité de chômage (ATF C163/04 précité et référence).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remplit son objectif (cf. ATF du 29 août 2005 dans la cause C 45/04 consid. 3.1 et références). On établira l'étendue du pouvoir de décision en fonction des circonstances concrètes (ATF C 45/04 précité et références). 3.                En l'occurrence, il n'est pas contesté que l'époux de la recourante occupe une position dominante dans l'entreprise qui a licencié cette dernière puisqu'il exploite en raison individuelle le restaurant dans lequel elle était employée. Dans ces circonstances, il résulte de la jurisprudence mentionnée ci-dessus que la recourante n'a pas le droit à l'indemnité de chômage, ceci sans qu'il soit nécessaire d'examiner si, dans le cas concret, on est en présence d'un abus de droit. On l'a vu, ce n'est en effet pas l'abus avéré comme tel qui est sanctionné, mais le risque d'abus que représente le versement d'indemnités au conjoint d'une personne qui a une position d'employeur. 4.                Il résulte des considérants qui précèdent que le recours doit être rejeté et la décision attaquée confirmée. En application de l'art. 61 lit. a LPGA, elle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