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PS.2006.0057 vom 26. Juni 2006</w:t>
      </w:r>
    </w:p>
    <w:p>
      <w:r>
        <w:t>VD Tribunal cantonal, 2006-06-26, FR</w:t>
      </w:r>
    </w:p>
    <w:p>
      <w:r>
        <w:rPr>
          <w:b/>
        </w:rPr>
        <w:t xml:space="preserve">Quelle: </w:t>
      </w:r>
      <w:r>
        <w:t>https://mcp.opencaselaw.ch/entscheid/vd_omni_PS.2006.0057</w:t>
      </w:r>
    </w:p>
    <w:p>
      <w:r>
        <w:t>FR: VD_OMNI PS.2006.0057 du 26 juin 2006</w:t>
      </w:r>
    </w:p>
    <w:p>
      <w:r>
        <w:t>IT: VD_OMNI PS.2006.0057 del 26 giugno 2006</w:t>
      </w:r>
    </w:p>
    <w:p>
      <w:pPr>
        <w:pStyle w:val="Heading2"/>
      </w:pPr>
      <w:r>
        <w:t>Regeste</w:t>
      </w:r>
    </w:p>
    <w:p>
      <w:r>
        <w:t>X./Caisse d'assurance-chômage de la société des jeunes commerçants, Office régional de placement de l'Ouest Lausannois ORPOL | L'assuré a adopté un comportement inadéquat avec son employeur qui a provoqué la rupture du contrat de travail; la suspension dans l'exercice du droit à l'indemnité se justifie. Le seul fait que la juridiction civile ne retienne pas un cas de résiliation du contrat de travail pour justes motifs, ne signifie pas encore qu'aucune faute n'est imputable à l'assuré.</w:t>
      </w:r>
    </w:p>
    <w:p>
      <w:pPr>
        <w:pStyle w:val="Heading2"/>
      </w:pPr>
      <w:r>
        <w:t>Erwägungen</w:t>
      </w:r>
    </w:p>
    <w:p>
      <w:r>
        <w:rPr>
          <w:b/>
        </w:rPr>
        <w:t>E. 1</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 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 2001/0120 du 20 novembre 2001 et PS 97/0029 du 25 juin 1997, et les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d) En l'espèce, s'il est vrai que le Tribunal des prud'hommes a admis la demande du recourant en considérant que les conditions d'une résiliation pour justes motifs n'étaient pas remplies, les faits retenus par la juridiction civile confirment une faute de l'assuré. Les témoignages concordants ont établi que l'assuré s'était montré grossier avec l'épouse de l'employeur ce qui rendait impossible la poursuite des rapports de travail. L'assuré devait se rendre compte que le vocabulaire choisi pour répondre à l'interpellation de l'épouse de son employeur était de nature à provoquer une rupture du lien de confiance et la résiliation du contrat de travail. Le tribunal considère ainsi que le chômage est imputable à une faute de l'assuré; en particulier lorsque ce dernier a donné à son employeur un motif de résiliation du contrat de travail au sens de l'art. 44 al. 1 let. a OACI. Il est dès lors indifférent à cet égard que l'assuré ait obtenu ou non gain de cause au sujet du délai de résiliation du contrat de travail. En outre, la caisse de chômage n'a pas dépassé son pouvoir d'appréciation en considérant que le comportement de l'assuré était assimilable à une faute grave et en fixant la durée de la suspension à trente et un jours (art. 45 al. 2 let. c OACI).</w:t>
      </w:r>
    </w:p>
    <w:p>
      <w:r>
        <w:rPr>
          <w:b/>
        </w:rPr>
        <w:t>E. 2</w:t>
      </w:r>
    </w:p>
    <w:p>
      <w:r>
        <w:t>Il résulte des considérants qui précèdent que le recours doit être rejeté et la décision attaquée maintenue. Conformément à l'art. 61 let. a LPGA, la procédure de recours est gratuite de sorte qu'il n'y a pas lieu de percevoir de frais de justice. En outre, le recourant qui n'obtient pas gain de cause et qui n'est pas assisté par un homme de loi n'a de toute manière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