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PS.2006.0037 vom 16. Mai 2006</w:t>
      </w:r>
    </w:p>
    <w:p>
      <w:r>
        <w:t>VD Tribunal cantonal, 2006-05-16, FR</w:t>
      </w:r>
    </w:p>
    <w:p>
      <w:r>
        <w:rPr>
          <w:b/>
        </w:rPr>
        <w:t xml:space="preserve">Quelle: </w:t>
      </w:r>
      <w:r>
        <w:t>https://mcp.opencaselaw.ch/entscheid/vd_omni_PS.2006.0037</w:t>
      </w:r>
    </w:p>
    <w:p>
      <w:r>
        <w:t>FR: VD_OMNI PS.2006.0037 du 16 mai 2006</w:t>
      </w:r>
    </w:p>
    <w:p>
      <w:r>
        <w:t>IT: VD_OMNI PS.2006.0037 del 16 maggio 2006</w:t>
      </w:r>
    </w:p>
    <w:p>
      <w:pPr>
        <w:pStyle w:val="Heading2"/>
      </w:pPr>
      <w:r>
        <w:t>Regeste</w:t>
      </w:r>
    </w:p>
    <w:p>
      <w:r>
        <w:t>X./Caisse cantonale de chômage, Office régional de placement de Lausanne | La possibilité pour un assuré d'être réengagé au sein d'une entreprise que contrôle son conjoint (en l'espèce, un restaurant) suffit à lui dénier le droit à l'indemnité.</w:t>
      </w:r>
    </w:p>
    <w:p>
      <w:pPr>
        <w:pStyle w:val="Heading2"/>
      </w:pPr>
      <w:r>
        <w:t>Erwägungen</w:t>
      </w:r>
    </w:p>
    <w:p>
      <w:r>
        <w:rPr>
          <w:b/>
        </w:rPr>
        <w:t>E. 1</w:t>
      </w:r>
    </w:p>
    <w:p>
      <w:r>
        <w:t>De jurisprudence constante,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lit. c LACI. Selon cette disposition,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La situation serait en revanche différente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(ATF C 65/04 du 29 juin 2004, ATF 123 V 238, consid. 7b; SVR 2001 ALV n°14 pp. 41-42; DTA 2000 n° 14 p. 70 consid. 2). Le Tribunal fédéral se montre toutefois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(DTA 2004 n°20 p. 195 consid. 4, 2002 p. 183 et 2003 p. 240, en particulier p. 242 consid. 4; ATF C 50/04 du 26 juillet 2005; Tribunal administratif, arrêts PS 2006/0017 du 18 avril 2006, PS 2003/0127 du 26 février 2004 et les références citées). Enfin, la jurisprudence étend clairement l’exclusion du droit à l’indemnité de chômage aux conjoints des personnes qui fixent les décisions que prend l’employeur. En effet, les conjoints peuvent exercer une influence sur la perte de travail qu’ils subissent, ce qui rend leur chômage difficilement contrôlable : aussi longtemps que cette influence subsiste, il existe une possibilité de réengagement (ATF C 65/04 du 29 juin 2004 et C 123/99 du 26 juillet 1999 ; DTA 2005 n° 9 p. 130, et les références citées).</w:t>
      </w:r>
    </w:p>
    <w:p>
      <w:r>
        <w:rPr>
          <w:b/>
        </w:rPr>
        <w:t>E. 2</w:t>
      </w:r>
    </w:p>
    <w:p>
      <w:r>
        <w:t>En l'espèce, la recourante se prévaut de la fermeture définitive du « E.________», respectivement de ce que cette entité était entièrement distincte du restaurant « D.________» dont son conjoint est resté propriétaire. Il n’y a cependant pas à exclure que ce dernier réengage l’intéressée, que ce soit dans le cadre de son restaurant, de la réouverture du buffet en question une fois les travaux du F.________ terminés, ou de la création d’un autre établissement. Dès lors que la jurisprudence sanctionne déjà la possibilité pour un assuré d’être appelé à exercer une activité économique au sein d’une des entreprises que contrôle son conjoint, c’est à juste titre que la caisse a nié le droit à l’indemnité. Le recours doit être rejeté en conséquence, sans frais ni allocation de dépens (art. 61 lit. a et g LPGA). Il n'y a pas lieu de faire droit à la requête de la recourante tendant à fixer des débats, le litige portant sur une question de nature juridique que la procédure écrite suffit à résoudre (ATF 120 V 1 cons. 3 ; Tribunal administratif, arrêt PS 2004/0208 du 18 mars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