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PS.2005.0280 vom 23. Januar 2006</w:t>
      </w:r>
    </w:p>
    <w:p>
      <w:r>
        <w:t>VD Tribunal cantonal, 2006-01-23, FR</w:t>
      </w:r>
    </w:p>
    <w:p>
      <w:r>
        <w:rPr>
          <w:b/>
        </w:rPr>
        <w:t xml:space="preserve">Quelle: </w:t>
      </w:r>
      <w:r>
        <w:t>https://mcp.opencaselaw.ch/entscheid/vd_omni_PS.2005.0280</w:t>
      </w:r>
    </w:p>
    <w:p>
      <w:r>
        <w:t>FR: VD_OMNI PS.2005.0280 du 23 janvier 2006</w:t>
      </w:r>
    </w:p>
    <w:p>
      <w:r>
        <w:t>IT: VD_OMNI PS.2005.0280 del 23 gennaio 2006</w:t>
      </w:r>
    </w:p>
    <w:p>
      <w:pPr>
        <w:pStyle w:val="Heading2"/>
      </w:pPr>
      <w:r>
        <w:t>Regeste</w:t>
      </w:r>
    </w:p>
    <w:p>
      <w:r>
        <w:t>X. SA/Caisse de chômage UNIA Administration centrale, Office régional de placement de Lausanne | Dès lors que le versement des allocations à eu lieu sous condition résolutoire que le contrat de travail ne soit pas résilié, la caisse est fondée, la condition n'était pas remplie, à en exiger le remboursement sans devoir respecter les conditions auxquelles est normalement soumise la révocation des décisions. Dans cette hypothèse, l'intéressé ne peut pas invoquer sa bonne foi.</w:t>
      </w:r>
    </w:p>
    <w:p>
      <w:pPr>
        <w:pStyle w:val="Heading2"/>
      </w:pPr>
      <w:r>
        <w:t>Erwägungen</w:t>
      </w:r>
    </w:p>
    <w:p>
      <w:r>
        <w:rPr>
          <w:b/>
        </w:rPr>
        <w:t>E. 1</w:t>
      </w:r>
    </w:p>
    <w:p>
      <w:r>
        <w:t>En vertu de l'art. 65 de la loi fédérale du 25 juin 1982 sur l'assurance-chômage obligatoire et l'indemnité en cas d'insolvabilité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 cadre, elles sont versées pour six mois au plus, dans des cas exceptionnels, notamment pour des chômeurs âgés, pour douze mois au plus. Par ailleurs, bien que les assurés soient eux-mêmes titulaires du droit aux allocations d'initiation au travail, celles-ci sont versées par la caisse à l'employeur; ce dernier les verse à son tour à l'assuré avec le salaire convenu (art. 90 al. 4 OACI). 2.                a) Dans un arrêt du 27 mars 2000 (ATF 126 V 42), le Tribunal fédéral des assurances a jugé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 Circulaire relative aux mesures de marché du travail [MMT], éd. octobre 2004, J 29).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b) En l'occurrence, dans son arrêt du 16 février 2005, le Tribunal fédéral des assurances a constaté que l'ORP était en droit de revenir, avec effet ex tunc, sur sa décision d'octroyer des allocations dès lors que la résiliation du contrat de travail était intervenue pendant la durée de l'initiation et ne pouvait être justifiée par des justes motifs ou un autre motif laissant apparaître comme non exigible la continuation des rapports de travail. Le Tribunal fédéral ayant statué de manière définitive sur cette question, il n'y pas lieu de la réexaminer dans le cadre du présent recours. c) Dès le moment où la décision de l'ORP de revenir, avec effet ex tunc, sur sa décision d'octroyer des allocations pendant cette période ne peut plus être remise en question, c'est à juste titre que la caisse a exigé la restitution des allocations d'initiation au travail versées à X.________ SA pour la période du 15 août 2002 au 14 février 2003. Dès lors que le versement des allocations a eu lieu sous condition résolutoire que le contrat de travail ne soit pas résilié, la caisse est en effet fondée - la condition n'étant pas remplie - à en exiger le remboursement sans devoir respecter les conditions auxquelles est normalement soumise la révocation des décisions (à savoir les conditions d'une reconsidération ou d'une révision procédurale de la décision par laquelle les prestations en cause ont été allouées) (cf. ATF 126 V 42 cons. 2 b). 3.                Dans son recours, X.________ SA fait valoir essentiellement le fait qu'elle serait de bonne foi ainsi que sa situation financière difficile. La recourante demande par conséquent la remise de l'obligation de restituer. Selon l'art. 25 al. 1 de la loi fédérale du 6 octobre 2000 sur la partie générale des assurances sociales (LPGA), la restitution des prestations indûment touchées ne peut pas être exigée lorsque l'intéressé était de bonne foi et qu'elle le mettrait dans une situation difficile. Celui-ci peut alors demander une remise de l'obligation de restituer. Selon le Tribunal fédéral des assurances, une telle remise est cependant exclue dans l'hypothèse où la restitution d'allocations d'initiation au travail est exigée en raison du non respect de la condition résolutoire que le contrat de travail ne soit pas résilié. Dans cette hypothèse, l'intéressé doit s'attendre à devoir rembourser les prestations et ne peut par conséquent pas invoquer sa bonne foi (cf. ATF précité). Il résulte de ce qui précède que la bonne foi alléguée par la recourante, de même que ses difficultés financières, sont sans incidence sur son obligation de restituer. 4.                Les considérants qui précèdent conduisent au rejet du recours. En application de l'art. 61 litt. a LPGA,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