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PS.2005.0259 vom 7. Juni 2006</w:t>
      </w:r>
    </w:p>
    <w:p>
      <w:r>
        <w:t>VD Tribunal cantonal, 2006-06-07, FR</w:t>
      </w:r>
    </w:p>
    <w:p>
      <w:r>
        <w:rPr>
          <w:b/>
        </w:rPr>
        <w:t xml:space="preserve">Quelle: </w:t>
      </w:r>
      <w:r>
        <w:t>https://mcp.opencaselaw.ch/entscheid/vd_omni_PS.2005.0259</w:t>
      </w:r>
    </w:p>
    <w:p>
      <w:r>
        <w:t>FR: VD_OMNI PS.2005.0259 du 7 juin 2006</w:t>
      </w:r>
    </w:p>
    <w:p>
      <w:r>
        <w:t>IT: VD_OMNI PS.2005.0259 del 7 giugno 2006</w:t>
      </w:r>
    </w:p>
    <w:p>
      <w:pPr>
        <w:pStyle w:val="Heading2"/>
      </w:pPr>
      <w:r>
        <w:t>Regeste</w:t>
      </w:r>
    </w:p>
    <w:p>
      <w:r>
        <w:t>X./Service de l'emploi, Instance juridique chômage, Caisse cantonale de chômage, Office régional de placement de Lausanne | Mesures relatives au marché du travail; recours admis contre un refus d'autoriser et de prendre en charge la fréquentation d'un cours de formation professionnelle dans le management public; orientation de la carrière de la recourante depuis une dizaine d'années vers des tâches qui se sont éloignées du domaine strictement juridique; licence en droit datant de plus de 30 ans; âge; l'ensemble des circonstances permet de considérer que le cours litigieux est propre à améliorer l'aptitude au placement de la recourante, en lui permettant de s'adapter à la réalité du marché de l'emploi.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L'assurance alloue des prestations financières au titre des mesures relatives au  marché du travail en faveur des assurés et des personnes menacées de chômage.</w:t>
      </w:r>
    </w:p>
    <w:p>
      <w:r>
        <w:rPr>
          <w:b/>
        </w:rPr>
        <w:t>E. 2</w:t>
      </w:r>
    </w:p>
    <w:p>
      <w:r>
        <w:t>Il résulte des considérants qui précèdent que le recours doit être admis et la décision attaquée annulée. Le dossier sera retourné à l’autorité intimée afin qu’elle statue à nouveau dans le sens des considérants du présent arrêt. Il ne sera pas perçu de frais de justice (art. 61 let. a LPGA) et il ne sera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