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PS.2005.0225 vom 7. März 2006</w:t>
      </w:r>
    </w:p>
    <w:p>
      <w:r>
        <w:t>VD Tribunal cantonal, 2006-03-07, FR</w:t>
      </w:r>
    </w:p>
    <w:p>
      <w:r>
        <w:rPr>
          <w:b/>
        </w:rPr>
        <w:t xml:space="preserve">Quelle: </w:t>
      </w:r>
      <w:r>
        <w:t>https://mcp.opencaselaw.ch/entscheid/vd_omni_PS.2005.0225</w:t>
      </w:r>
    </w:p>
    <w:p>
      <w:r>
        <w:t>FR: VD_OMNI PS.2005.0225 du 7 mars 2006</w:t>
      </w:r>
    </w:p>
    <w:p>
      <w:r>
        <w:t>IT: VD_OMNI PS.2005.0225 del 7 marzo 2006</w:t>
      </w:r>
    </w:p>
    <w:p>
      <w:pPr>
        <w:pStyle w:val="Heading2"/>
      </w:pPr>
      <w:r>
        <w:t>Regeste</w:t>
      </w:r>
    </w:p>
    <w:p>
      <w:r>
        <w:t>X/Caisse de chômage de la CVCI, Office régional de placement d'Echallens | Une situation de mobbing ne suffit pas pour justifier un abandon d'emploi.</w:t>
      </w:r>
    </w:p>
    <w:p>
      <w:pPr>
        <w:pStyle w:val="Heading2"/>
      </w:pPr>
      <w:r>
        <w:t>Erwägungen</w:t>
      </w:r>
    </w:p>
    <w:p>
      <w:r>
        <w:rPr>
          <w:b/>
        </w:rPr>
        <w:t>E. 1</w:t>
      </w:r>
    </w:p>
    <w:p>
      <w:r>
        <w:t>Le droit de l'assuré à l'indemnité est suspendu lorsqu'il est établi que celui-ci est sans travail par sa propre faute (art. 30 al. 1 er lit. a LACI). Tel est notamment le cas de l'employé qui résilie lui-même son contrat de travail sans avoir été préalablement assuré d'obtenir un autre emploi, à moins qu'on eût pu exiger de lui qu'il conservât son ancien emploi (art. 44 al. 1 er lit b OACI). La notion d'inexigibilité au sens de cette dernière disposition s'interprète conformément à la convention n° 168 de l'OIT relative à la promotion de l'emploi et la protection contre le chômage du 20 juin 1998 (RS 0.822.726.8; art. 20 lit. b et c), qui permet de sanctionner l'abandon volontaire d'un emploi sans motif légitime. Constante, la jurisprudence n'admet que de manière particulièrement restrictive les circonstances pouvant justifier l'abandon d'un emploi. Ainsi, un mauvais climat de travail, une situation de mobbing ou des relations tendues avec des supérieurs hiérarchiques ou des collègues ne suffisent pas pour justifier un abandon d'emploi. Le Tribunal fédéral des assurances considère en effet qu'il incombe préalablement à l'employé de faire respecter ses droits, le cas échéant en ayant recours à la médiation de certaines autorités (tels l'inspection du travail, un syndicat, un office régional de placement) ou en faisant valoir ses droits en justice (ATF 124 V 236; TFA, arrêts C 8/04 du 5 avril 2004, C 309/02 du 16 avril 2003; Tribunal administratif, arrêts PS 2001/141 du 25 février 2002, PS 2002/143 du 10 juillet 2003, PS 2004/0269 du 27 avril 2005, et les références citées). 2.                En l'espèce, le recourant échoue à démontrer que la continuation des rapports de travail ne pouvait plus être exigée de lui compte tenu d’une stratégie qu'auraient déployée ses supérieurs hiérarchiques afin de le contraindre à la démission, ceci en limitant son temps de travail, en ne l'autorisant pas à s'exprimer et en réduisant sa rémunération. En effet, il ne soutient pas avoir été contraint de signer l'avenant à son contrat de travail du 4 juin 2004 fixant le cadre et la rémunération de ses nouvelles fonctions. Il n'allègue ni ne démontre pas davantage avoir entrepris quelque démarche que ce soit pour faire valoir ses droits à l'encontre de la direction de l'entreprise - ce qui lui était d'autant plus aisé qu'il était alors membre du conseil d'administration -, ni ne rend vraisemblable que son employeur n'était pas ou plus disposé à respecter ses engagements contractuels. Ainsi, le fait qu'il ait "préféré démissionner", comme il l'a  exprimé dans un courrier adressé le 7 juin 2005 à la caisse, ne le dispensait nullement de rechercher préalablement un autre emploi. Fondée dans son principe, la mesure de suspension litigieuse l'est également dans sa quotité, la durée de 31 jours retenue par la caisse correspondant au minimum prévu en cas d'abandon d'emploi (art. 45 al. 3 OACI).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