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PS.2005.0223 vom 23. November 2005</w:t>
      </w:r>
    </w:p>
    <w:p>
      <w:r>
        <w:t>VD Tribunal cantonal, 2005-11-23, FR</w:t>
      </w:r>
    </w:p>
    <w:p>
      <w:r>
        <w:rPr>
          <w:b/>
        </w:rPr>
        <w:t xml:space="preserve">Quelle: </w:t>
      </w:r>
      <w:r>
        <w:t>https://mcp.opencaselaw.ch/entscheid/vd_omni_PS.2005.0223</w:t>
      </w:r>
    </w:p>
    <w:p>
      <w:r>
        <w:t>FR: VD_OMNI PS.2005.0223 du 23 novembre 2005</w:t>
      </w:r>
    </w:p>
    <w:p>
      <w:r>
        <w:t>IT: VD_OMNI PS.2005.0223 del 23 novembre 2005</w:t>
      </w:r>
    </w:p>
    <w:p>
      <w:pPr>
        <w:pStyle w:val="Heading2"/>
      </w:pPr>
      <w:r>
        <w:t>Regeste</w:t>
      </w:r>
    </w:p>
    <w:p>
      <w:r>
        <w:t>X. c/Caisse cantonale de chômage, ORP d'Aigle | Les indemnités compensatoires que perçoit l'assuré en incapacité de travail font partie de son gain assuré, y compris dans l'hypothèse où il est sans emploi parce que son employeur a résilié le contrat de travail.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let. a OACI), et non du moment, plus ou moins certain, où il aurait pu faire valoir ce droit, mais y a renoncé. Or, c’est seulement le 14 juillet 2004 que le recourant s’est inscrit à l’ORP. Dès lors, peu importe qu’il ait été renseigné de façon incorrecte sur ses droits ; en effet, si le délai-cadre d’indemnisation avait été ouvert dès cette dernière date, le recourant n’aurait de toute façon pas pu justifier de douze mois d’activité durant un délai-cadre de cotisation du 14 juillet 2002 au 13 juillet 2004.</w:t>
      </w:r>
    </w:p>
    <w:p>
      <w:r>
        <w:rPr>
          <w:b/>
        </w:rPr>
        <w:t>E. 2</w:t>
      </w:r>
    </w:p>
    <w:p>
      <w:r>
        <w:t>Il est déterminé sur la base du salaire moyen des douze derniers mois de cotisation précédant le délai-cadre d’indemnisation si ce salaire est plus élevé que le salaire moyen visé à l’al. 1.</w:t>
      </w:r>
    </w:p>
    <w:p>
      <w:r>
        <w:rPr>
          <w:b/>
        </w:rPr>
        <w:t>E. 3</w:t>
      </w:r>
    </w:p>
    <w:p>
      <w:r>
        <w:t>Les considérants qui précèdent conduisent par conséquent le tribunal à admette le recours et à annuler la décision attaquée. La cause sera renvoyée à l’autorité intimée pour nouvelle décision au sens du considérant qui précède. Au surplus, le présent arrêt sera rendu sans frais.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