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PS.2005.0111 vom 7. September 2005</w:t>
      </w:r>
    </w:p>
    <w:p>
      <w:r>
        <w:t>VD Tribunal cantonal, 2005-09-07, FR</w:t>
      </w:r>
    </w:p>
    <w:p>
      <w:r>
        <w:rPr>
          <w:b/>
        </w:rPr>
        <w:t xml:space="preserve">Quelle: </w:t>
      </w:r>
      <w:r>
        <w:t>https://mcp.opencaselaw.ch/entscheid/vd_omni_PS.2005.0111</w:t>
      </w:r>
    </w:p>
    <w:p>
      <w:r>
        <w:t>FR: VD_OMNI PS.2005.0111 du 7 septembre 2005</w:t>
      </w:r>
    </w:p>
    <w:p>
      <w:r>
        <w:t>IT: VD_OMNI PS.2005.0111 del 7 settembre 2005</w:t>
      </w:r>
    </w:p>
    <w:p>
      <w:pPr>
        <w:pStyle w:val="Heading2"/>
      </w:pPr>
      <w:r>
        <w:t>Regeste</w:t>
      </w:r>
    </w:p>
    <w:p>
      <w:r>
        <w:t>X/Caisse de chômage de la CVCI, Office régional de placement de l'Ouest Lausannois ORPOL | Assuré suspendu pour avoir abandonné un emploi de durée indéterminée au profit d'un contrat intérimaire qui, même conclu pour une durée indéterminée, est réputé précaire.</w:t>
      </w:r>
    </w:p>
    <w:p>
      <w:pPr>
        <w:pStyle w:val="Heading2"/>
      </w:pPr>
      <w:r>
        <w:t>Erwägungen</w:t>
      </w:r>
    </w:p>
    <w:p>
      <w:r>
        <w:rPr>
          <w:b/>
        </w:rPr>
        <w:t>E. 1</w:t>
      </w:r>
    </w:p>
    <w:p>
      <w:r>
        <w:t>Formé dans le délai fixé à l'art. 60 de la loi fédérale sur la partie générale du droit des assurances sociales (LPGA), le recours est intervenu en temps utile; répondant en outre aux autres conditions prévues à l'art. 61 LPGA, il est recevable en la forme.</w:t>
      </w:r>
    </w:p>
    <w:p>
      <w:r>
        <w:rPr>
          <w:b/>
        </w:rPr>
        <w:t>E. 2</w:t>
      </w:r>
    </w:p>
    <w:p>
      <w:r>
        <w:t>Selon l'art. 30 al. 1 de la loi fédérale sur l'assurance-chômage obligatoire et l'indemnité en cas d'insolvabilité du 25 juin 1982 (ci-après: LACI), l'assuré est suspendu dans l'exercice de son droit à l'indemnité lorsqu'il est sans travail par sa propre faute. Tel est notamment le cas, à teneur de l'art. 44 lit. c de l'ordonnance sur l'assurance-chômage (ci-après: OACI) en l'occurrence invoqué par l'autorité intimée, lorsque l'assuré a résilié lui-même un contrat de travail vraisemblablement de longue durée et en a conclu un autre dont il savait ou aurait dû savoir qu'il ne serait que de courte durée, sauf s'il ne pouvait être exigé de lui qu'il conservât son ancien emploi, ceci au regard de l'art. 16 LACI.</w:t>
      </w:r>
    </w:p>
    <w:p>
      <w:r>
        <w:rPr>
          <w:b/>
        </w:rPr>
        <w:t>E. 3</w:t>
      </w:r>
    </w:p>
    <w:p>
      <w:r>
        <w:t>a)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conformément au principe de l'obligation de diminuer le dommage (DTA 1981 no 29 p. 126). Le critère de la culpabilité retenu par la jurisprudence dans ce domaine spécifique est ainsi celui du comportement raisonnablement exigible de l'assuré (Gerhards, op. cit., no 10 ad art. 30 LACI; DTA 1989 pp. 88 ss).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arrêts PS.2002.0009 du 28 février 2005, PS.2000.0096 du 26 mars 2001, et les références citées). b) Dans le cas particulier de l'art. 44 al. 1 er lit c OACI, la sanction vise à prévenir qu'un assuré résilie un contrat stable pour en conclure un autre qui l'est moins et qui, partant, est susceptible de causer ultérieurement un dommage à l'assurance. En d'autre termes, l'on sanctionne le risque pris par l'assuré qui a résilié un contrat stable pour prendre un nouvel emploi plus exposé lorsque le chômage apparaît être la conséquence de ce risque et non de la perte ultérieure du nouvel emploi (Boris Rubin, Assurance-chômage, ch. 5.8.11.6). Le comportement de l'assuré et la question de savoir si l'on peut exiger de lui qu'il conserve son emploi - pour autant qu'il soit convenable au sens de l'art. 16 LACI (Gerhards, op. cit., no 13 ss ad art. 30 LACI) et ne prête le flanc à aucun juste motif de résiliation au sens de l'art. 337 CO (Gerhards, op. cit., ad art. 30 LACI, no 11) - sont appréciés de la même manière que dans le cas d'un abandon d'emploi pur et simple (art. 44 al. 1 er lit. b OACI), comportement que la jurisprudence aborde de manière particulièrement rigoureuse (C. Munoz, La fin du contrat individuel de travail et le droit aux indemnités de l'assurance-chômage, thèse Lausanne 1992, p. 175 ss). 4.                En l'espèce, la caisse fonde la mesure de suspension litigieuse sur le congé donné par l'assuré à l'entreprise Y.________ SA. Elle lui reproche d'avoir causé l'intervention de l'assurance-chômage en résiliant le contrat de travail qui le liait à cet employeur pour conclure un contrat de travail avec une entreprise de travail temporaire, respectivement des contrats de mission successifs dont il aurait dû savoir qu'il ne seraient que de courte durée. Le recourant objecte qu'il avait déjà trouvé un travail de remplacement lorsqu'il donna son congé à Y.________ SA, respectivement qu'il était fondé à résilier le contrat qui le liait à cet employeur dès lors que le travail proposé contrevenait aux règles de sécurité et ne pouvait dès lors être qualifié de convenable. 5.                a) Le recourant ne saurait exciper d'un juste motif de résiliation de son emploi chez Y.________ SA, ni du caractère non convenable de cet emploi au sens de l'art. 16 LACI. La jurisprudence n'autorise pas à assimiler le manque de sécurité au travail tel que l'assuré l'a invoqué dans sa lettre à la caisse du 24 janvier 2005 à un motif légitime de résiliation du rapport de travail (ATF C302/01 du 4 février 2003, confirmant l'arrêt du Tribunal administratif PS 2001/0102 du 27 septembre 2001). En effet, lorsqu'il s'avère que l'employeur doit prendre des mesures pour éviter que le travailleur ne subisse une atteinte, ce dernier doit préalablement mettre l'employeur en demeure de s'exécuter, quitte à suspendre toute activité dangereuse, ce que le recourant n'allègue ni ne démontre avoir personnellement fait. b) Cela étant précisé, l'autorité intimée doit être suivie lorsqu'elle fonde la mesure de suspension litigieuse sur le cas d'application de l'art. 44 al. 1 er lit c OACI au motif que l'assuré devait s'attendre à ce que son emploi au service de l'agence de travail temporaire Z.________ ne soit que de courte durée. Par définition, les contrats de mission ne sont pas stables et leur succession est aléatoire. Il a même été jugé qu'un contrat de travail intérimaire conclu pour une durée indéterminée restait un emploi précaire et ne pouvait être considéré comme un contrat de travail vraisemblablement de longue durée au sens de la disposition précitée (RFJ 2000 p. 414). c) La sanction litigieuse se révélant fondée dans son principe, subsiste la question de sa quotité, qui doit être proportionnelle à la gravité de la faute (art. 30 al. 3 LACI). A cet égard, l'autorité intimée ne saurait être suivie en retenant une durée de 31 jours, correspondant à une faute grave. Outre que pareille faute n'a pas à être retenue d'office en application de l'art. 45 al. 3 OACI, qui ne sanctionne que l'abandon ou le refus d'emploi convenable,  le Tribunal fédéral des assurances a eu l'occasion de préciser que le comportement visé à l'art. 44 al. 1 er lit. c OACI relevait en principe d'une faute de gravité moyenne (ATF C 435/00 du 18 mai 2001), jurisprudence dont il n'y a pas lieu de se départir. Compte tenu des circonstances, notamment de l'absence d'antécédents du recourant,  la durée de la suspension sera réduite au minimum prévu en cas de faute moyenne, à savoir 16 jours indemnisables.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